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148430AE" w14:textId="2D8DFBB4" w:rsidR="00891AA5" w:rsidRDefault="00891AA5" w:rsidP="00891AA5">
      <w:pPr>
        <w:pStyle w:val="Heading4"/>
      </w:pPr>
      <w:r w:rsidRPr="009623D1">
        <w:rPr>
          <w:b/>
        </w:rPr>
        <w:t>BACKUP</w:t>
      </w:r>
      <w:r w:rsidRPr="009623D1">
        <w:t>: ICTVon</w:t>
      </w:r>
      <w:r>
        <w:t>line35.20200415.1544.step_7a_</w:t>
      </w:r>
      <w:r w:rsidRPr="009623D1">
        <w:t>done.bak</w:t>
      </w:r>
    </w:p>
    <w:p w14:paraId="33397450" w14:textId="0CAE16DA" w:rsidR="00101B6C" w:rsidRDefault="00101B6C" w:rsidP="00101B6C"/>
    <w:p w14:paraId="0DAF70AE" w14:textId="1ED209EB" w:rsidR="00145B55" w:rsidRDefault="00145B55" w:rsidP="00145B55">
      <w:pPr>
        <w:pStyle w:val="Heading3"/>
      </w:pPr>
      <w:r w:rsidRPr="00145B55">
        <w:t xml:space="preserve">7d. QC check for duplicate taxon </w:t>
      </w:r>
      <w:proofErr w:type="spellStart"/>
      <w:r w:rsidRPr="00145B55">
        <w:t>names.sql</w:t>
      </w:r>
      <w:proofErr w:type="spellEnd"/>
    </w:p>
    <w:p w14:paraId="770D4DCA" w14:textId="269CC412" w:rsidR="00145B55" w:rsidRDefault="006D21B4" w:rsidP="00145B55">
      <w:proofErr w:type="gramStart"/>
      <w:r>
        <w:t>6</w:t>
      </w:r>
      <w:proofErr w:type="gramEnd"/>
      <w:r>
        <w:t xml:space="preserve"> duplicate taxa. </w:t>
      </w:r>
    </w:p>
    <w:p w14:paraId="671AAFF7" w14:textId="1DFDFAD2" w:rsidR="006D21B4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duplicate taxon names.x35fixNewNew.sql</w:t>
      </w:r>
    </w:p>
    <w:p w14:paraId="1F255C43" w14:textId="1FD77311" w:rsidR="006D21B4" w:rsidRPr="00145B55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</w:t>
      </w:r>
      <w:r>
        <w:t>plicate taxon names.x35fixNewSplit</w:t>
      </w:r>
      <w:r w:rsidRPr="006D21B4">
        <w:t>.sql</w:t>
      </w:r>
    </w:p>
    <w:p w14:paraId="338C0EED" w14:textId="30684F2D" w:rsidR="006D21B4" w:rsidRDefault="001D017B" w:rsidP="001D017B">
      <w:pPr>
        <w:pStyle w:val="Heading4"/>
      </w:pPr>
      <w:r w:rsidRPr="001D017B">
        <w:rPr>
          <w:b/>
        </w:rPr>
        <w:t>BACKUP</w:t>
      </w:r>
      <w:r>
        <w:t xml:space="preserve">: </w:t>
      </w:r>
      <w:r w:rsidRPr="001D017B">
        <w:t>ICTVonline35.20200415.2150.step_7d_done.bak</w:t>
      </w:r>
    </w:p>
    <w:p w14:paraId="2CB2360F" w14:textId="4783AC01" w:rsidR="001D017B" w:rsidRDefault="001D017B" w:rsidP="001D017B"/>
    <w:p w14:paraId="109BE7A3" w14:textId="281DBC03" w:rsidR="00E1210D" w:rsidRDefault="00E1210D" w:rsidP="00E1210D">
      <w:pPr>
        <w:pStyle w:val="Heading3"/>
      </w:pPr>
      <w:r w:rsidRPr="00E1210D">
        <w:lastRenderedPageBreak/>
        <w:t>7e.QC_check_for_genera_with_type_species_issues.sql</w:t>
      </w:r>
    </w:p>
    <w:p w14:paraId="7867FC97" w14:textId="5A3FF34A" w:rsidR="0044592C" w:rsidRPr="0044592C" w:rsidRDefault="00CB7038" w:rsidP="0044592C">
      <w:pPr>
        <w:rPr>
          <w:rFonts w:eastAsia="Times New Roman"/>
        </w:rPr>
      </w:pPr>
      <w:r>
        <w:t xml:space="preserve">NEEDS UPDATE: </w:t>
      </w:r>
      <w:r>
        <w:rPr>
          <w:rFonts w:eastAsia="Times New Roman"/>
        </w:rPr>
        <w:t xml:space="preserve">Note that only one type species per genus, including all subgenera, </w:t>
      </w:r>
      <w:proofErr w:type="gramStart"/>
      <w:r>
        <w:rPr>
          <w:rFonts w:eastAsia="Times New Roman"/>
        </w:rPr>
        <w:t>is allowed</w:t>
      </w:r>
      <w:proofErr w:type="gramEnd"/>
      <w:r>
        <w:rPr>
          <w:rFonts w:eastAsia="Times New Roman"/>
        </w:rPr>
        <w:t xml:space="preserve">. </w:t>
      </w:r>
    </w:p>
    <w:p w14:paraId="2ACEC696" w14:textId="77777777" w:rsidR="00E1210D" w:rsidRDefault="00E1210D" w:rsidP="00E1210D">
      <w:r>
        <w:t xml:space="preserve">Looks like there are a fair number of issues with this. </w:t>
      </w:r>
    </w:p>
    <w:p w14:paraId="59A52A81" w14:textId="77777777" w:rsidR="00E1210D" w:rsidRDefault="00E1210D" w:rsidP="00E1210D">
      <w:r>
        <w:t xml:space="preserve">Many are un-resolved issues from previous MSLs. </w:t>
      </w:r>
    </w:p>
    <w:p w14:paraId="305C71AD" w14:textId="1E6BCD6A" w:rsidR="00E1210D" w:rsidRDefault="00CB7038" w:rsidP="0044592C">
      <w:r w:rsidRPr="0044592C">
        <w:t>[</w:t>
      </w:r>
      <w:proofErr w:type="gramStart"/>
      <w:r w:rsidRPr="0044592C">
        <w:t>unfinished</w:t>
      </w:r>
      <w:proofErr w:type="gramEnd"/>
      <w:r w:rsidRPr="0044592C">
        <w:t xml:space="preserve">] </w:t>
      </w:r>
      <w:proofErr w:type="gramStart"/>
      <w:r w:rsidR="00E1210D" w:rsidRPr="0044592C">
        <w:t>I’m</w:t>
      </w:r>
      <w:proofErr w:type="gramEnd"/>
      <w:r w:rsidR="00E1210D" w:rsidRPr="0044592C">
        <w:t xml:space="preserve"> going to move on w/o putting time into this aspect until I have things pretty much finished.</w:t>
      </w:r>
      <w:r w:rsidR="00E1210D">
        <w:t xml:space="preserve"> </w:t>
      </w:r>
    </w:p>
    <w:p w14:paraId="417D4EC8" w14:textId="77777777" w:rsidR="00E1210D" w:rsidRDefault="00E1210D" w:rsidP="00E1210D">
      <w:r>
        <w:t xml:space="preserve">I looked into the first one, </w:t>
      </w:r>
    </w:p>
    <w:p w14:paraId="7F4421C0" w14:textId="77777777" w:rsidR="00E1210D" w:rsidRDefault="00E1210D" w:rsidP="00E1210D">
      <w:r>
        <w:t>                Duplodnaviria</w:t>
      </w:r>
      <w:proofErr w:type="gramStart"/>
      <w:r>
        <w:t>;Heunggongvirae</w:t>
      </w:r>
      <w:proofErr w:type="gramEnd"/>
      <w:r>
        <w:t>;Uroviricota;Caudoviricetes;Caudovirales;Demerecviridae;Novosibvirus: 2 type species</w:t>
      </w:r>
    </w:p>
    <w:p w14:paraId="73CFAD72" w14:textId="77777777" w:rsidR="00E1210D" w:rsidRDefault="00E1210D" w:rsidP="00E1210D">
      <w:pPr>
        <w:rPr>
          <w:color w:val="000000"/>
          <w:sz w:val="20"/>
          <w:szCs w:val="20"/>
        </w:rPr>
      </w:pPr>
      <w:r>
        <w:t>                MSL35 new species ‘</w:t>
      </w:r>
      <w:r>
        <w:rPr>
          <w:color w:val="000000"/>
          <w:sz w:val="20"/>
          <w:szCs w:val="20"/>
        </w:rPr>
        <w:t xml:space="preserve">Proteus virus </w:t>
      </w:r>
      <w:proofErr w:type="spellStart"/>
      <w:r>
        <w:rPr>
          <w:color w:val="000000"/>
          <w:sz w:val="20"/>
          <w:szCs w:val="20"/>
        </w:rPr>
        <w:t>Stubb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013DE16F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2019.099B.Demerecviridae_1fam3subfam6gen.xlsx</w:t>
      </w:r>
    </w:p>
    <w:p w14:paraId="3DFE0BE8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However, MSL34 new species ‘</w:t>
      </w:r>
      <w:hyperlink r:id="rId11" w:history="1">
        <w:r>
          <w:rPr>
            <w:rStyle w:val="Hyperlink"/>
            <w:sz w:val="20"/>
            <w:szCs w:val="20"/>
          </w:rPr>
          <w:t>Proteus virus PM135’</w:t>
        </w:r>
      </w:hyperlink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561BA00B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                 (</w:t>
      </w:r>
      <w:proofErr w:type="gramStart"/>
      <w:r>
        <w:rPr>
          <w:color w:val="000000"/>
          <w:sz w:val="20"/>
          <w:szCs w:val="20"/>
        </w:rPr>
        <w:t>side</w:t>
      </w:r>
      <w:proofErr w:type="gramEnd"/>
      <w:r>
        <w:rPr>
          <w:color w:val="000000"/>
          <w:sz w:val="20"/>
          <w:szCs w:val="20"/>
        </w:rPr>
        <w:t xml:space="preserve"> note, the history display doesn’t show that it was made type – didn’t it used to???)</w:t>
      </w:r>
    </w:p>
    <w:p w14:paraId="7CD7A65A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                I suppose the most recent designation should </w:t>
      </w:r>
      <w:proofErr w:type="gramStart"/>
      <w:r>
        <w:rPr>
          <w:color w:val="000000"/>
          <w:sz w:val="20"/>
          <w:szCs w:val="20"/>
        </w:rPr>
        <w:t>win?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7815BB29" w14:textId="6D2E630B" w:rsidR="00E1210D" w:rsidRDefault="00E1210D" w:rsidP="00E1210D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99C2B0" wp14:editId="50266CF2">
            <wp:extent cx="9791700" cy="1362075"/>
            <wp:effectExtent l="0" t="0" r="0" b="9525"/>
            <wp:docPr id="1" name="Picture 1" descr="cid:image001.png@01D61375.32C1E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1375.32C1EE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AA01" w14:textId="27CF0896" w:rsidR="0044592C" w:rsidRDefault="0044592C" w:rsidP="0044592C">
      <w:pPr>
        <w:pStyle w:val="Heading4"/>
      </w:pPr>
      <w:r>
        <w:t>Came back after 9x.QC_deltas.sql to fix</w:t>
      </w:r>
    </w:p>
    <w:p w14:paraId="1371EB52" w14:textId="5D76789F" w:rsidR="0044592C" w:rsidRDefault="0044592C" w:rsidP="0044592C">
      <w:pPr>
        <w:pStyle w:val="NoSpacing"/>
      </w:pPr>
      <w:r>
        <w:t xml:space="preserve">Changed query to define “exactly 1 type species under each genus (including all </w:t>
      </w:r>
      <w:proofErr w:type="spellStart"/>
      <w:proofErr w:type="gramStart"/>
      <w:r>
        <w:t>it’s</w:t>
      </w:r>
      <w:proofErr w:type="spellEnd"/>
      <w:proofErr w:type="gramEnd"/>
      <w:r>
        <w:t xml:space="preserve"> subgenera, if any)”. </w:t>
      </w:r>
    </w:p>
    <w:p w14:paraId="24FE5E2E" w14:textId="0119E323" w:rsidR="0044592C" w:rsidRDefault="0044592C" w:rsidP="0044592C">
      <w:pPr>
        <w:pStyle w:val="NoSpacing"/>
      </w:pPr>
      <w:r>
        <w:t xml:space="preserve">That cut down on the errors a lot. </w:t>
      </w:r>
    </w:p>
    <w:p w14:paraId="501C7FCE" w14:textId="33B3EFDC" w:rsidR="00A73153" w:rsidRDefault="0044592C" w:rsidP="0044592C">
      <w:pPr>
        <w:pStyle w:val="NoSpacing"/>
      </w:pPr>
      <w:r>
        <w:t xml:space="preserve">Sent new report to Elliot. </w:t>
      </w:r>
    </w:p>
    <w:p w14:paraId="19059F5E" w14:textId="2DAFEF87" w:rsidR="00A73153" w:rsidRDefault="00A73153" w:rsidP="00A73153">
      <w:pPr>
        <w:pStyle w:val="Heading5"/>
      </w:pPr>
      <w:r>
        <w:lastRenderedPageBreak/>
        <w:t>7e.QC_check_for_genera_with_type_species_issues.xFix_only_child_species.sql</w:t>
      </w:r>
    </w:p>
    <w:p w14:paraId="5184CD6E" w14:textId="0FEE9182" w:rsidR="00A73153" w:rsidRDefault="00A73153" w:rsidP="00A73153">
      <w:r>
        <w:t xml:space="preserve">Set all only-child species to be type species. </w:t>
      </w:r>
    </w:p>
    <w:p w14:paraId="4E50DF13" w14:textId="3041143E" w:rsidR="00A73153" w:rsidRDefault="00A73153" w:rsidP="00A73153">
      <w:r>
        <w:t xml:space="preserve">Send new report to Elliot. </w:t>
      </w:r>
    </w:p>
    <w:p w14:paraId="4BB24EBD" w14:textId="77777777" w:rsidR="00A73153" w:rsidRPr="00A73153" w:rsidRDefault="00A73153" w:rsidP="00A73153">
      <w:bookmarkStart w:id="0" w:name="_GoBack"/>
      <w:bookmarkEnd w:id="0"/>
    </w:p>
    <w:p w14:paraId="0F44FDC5" w14:textId="77777777" w:rsidR="0044592C" w:rsidRPr="0044592C" w:rsidRDefault="0044592C" w:rsidP="0044592C">
      <w:pPr>
        <w:pStyle w:val="NoSpacing"/>
      </w:pPr>
    </w:p>
    <w:p w14:paraId="1583913B" w14:textId="4550F2BA" w:rsidR="009A6D95" w:rsidRDefault="009A6D95" w:rsidP="009A6D95">
      <w:pPr>
        <w:pStyle w:val="Heading3"/>
      </w:pPr>
      <w:r>
        <w:t>7g.QC_molecule_id.sql</w:t>
      </w:r>
    </w:p>
    <w:p w14:paraId="5B7CE33C" w14:textId="77777777" w:rsidR="009A6D95" w:rsidRDefault="009A6D95" w:rsidP="009A6D95">
      <w:pPr>
        <w:pStyle w:val="NoSpacing"/>
      </w:pPr>
      <w:r>
        <w:t xml:space="preserve">Added checks for correct transfer of </w:t>
      </w:r>
      <w:proofErr w:type="spellStart"/>
      <w:r>
        <w:t>load_next_msl.molecule</w:t>
      </w:r>
      <w:proofErr w:type="spellEnd"/>
      <w:r>
        <w:t xml:space="preserve"> into </w:t>
      </w:r>
      <w:proofErr w:type="spellStart"/>
      <w:r>
        <w:t>taxonomy_node</w:t>
      </w:r>
      <w:proofErr w:type="spellEnd"/>
    </w:p>
    <w:p w14:paraId="0EFFE6DE" w14:textId="77777777" w:rsidR="009A6D95" w:rsidRDefault="009A6D95" w:rsidP="009A6D95">
      <w:pPr>
        <w:pStyle w:val="NoSpacing"/>
      </w:pPr>
      <w:r>
        <w:t xml:space="preserve">Used update to fix problems. </w:t>
      </w:r>
    </w:p>
    <w:p w14:paraId="61F8912E" w14:textId="77777777" w:rsidR="00CB7038" w:rsidRDefault="00CB7038" w:rsidP="009A6D95">
      <w:pPr>
        <w:pStyle w:val="NoSpacing"/>
      </w:pPr>
    </w:p>
    <w:p w14:paraId="216A85F2" w14:textId="28B421DE" w:rsidR="00E1210D" w:rsidRDefault="00CB7038" w:rsidP="009A6D95">
      <w:pPr>
        <w:pStyle w:val="NoSpacing"/>
      </w:pPr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r w:rsidR="00E1210D">
        <w:t xml:space="preserve"> </w:t>
      </w:r>
      <w:r>
        <w:t xml:space="preserve">There are many species with </w:t>
      </w:r>
      <w:proofErr w:type="spellStart"/>
      <w:r>
        <w:t>molecule_id</w:t>
      </w:r>
      <w:proofErr w:type="spellEnd"/>
      <w:r>
        <w:t xml:space="preserve"> matching that of their parents, grandparents, but I </w:t>
      </w:r>
      <w:proofErr w:type="gramStart"/>
      <w:r>
        <w:t>don’t</w:t>
      </w:r>
      <w:proofErr w:type="gramEnd"/>
      <w:r>
        <w:t xml:space="preserve"> find code to push that up. </w:t>
      </w:r>
    </w:p>
    <w:p w14:paraId="02731275" w14:textId="6C704C88" w:rsidR="00CB7038" w:rsidRDefault="00CB7038" w:rsidP="009A6D95">
      <w:pPr>
        <w:pStyle w:val="NoSpacing"/>
      </w:pPr>
      <w:r>
        <w:t>Updated REPORTS.</w:t>
      </w:r>
    </w:p>
    <w:p w14:paraId="0DAA2A8D" w14:textId="77777777" w:rsidR="00AD7210" w:rsidRDefault="00AD7210" w:rsidP="00D24D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B178A55" w14:textId="014675BD" w:rsidR="00AD7210" w:rsidRDefault="00AD7210" w:rsidP="009574EF">
      <w:pPr>
        <w:pStyle w:val="Heading3"/>
        <w:rPr>
          <w:highlight w:val="yellow"/>
        </w:rPr>
      </w:pPr>
      <w:r w:rsidRPr="00AD7210">
        <w:t>9x.QC_deltas.sql</w:t>
      </w:r>
    </w:p>
    <w:p w14:paraId="071F8F75" w14:textId="053FC6ED" w:rsidR="00AD7210" w:rsidRDefault="00AD7210" w:rsidP="00AD7210">
      <w:pPr>
        <w:pStyle w:val="NoSpacing"/>
      </w:pPr>
      <w:r w:rsidRPr="00AD7210">
        <w:t>9x.QC_deltas.xFix35.1_split_Ambidensovirussql.sql</w:t>
      </w:r>
    </w:p>
    <w:p w14:paraId="7ABF2FAF" w14:textId="6F781D69" w:rsidR="00AD7210" w:rsidRDefault="00AD7210" w:rsidP="00AD7210">
      <w:pPr>
        <w:pStyle w:val="NoSpacing"/>
      </w:pPr>
      <w:r w:rsidRPr="00AD7210">
        <w:t>9x.QC_deltas.xFix35.2_new_wo_ins.sql</w:t>
      </w:r>
    </w:p>
    <w:p w14:paraId="6E0D4AAA" w14:textId="0EF64FFA" w:rsidR="00AD7210" w:rsidRDefault="00AD7210" w:rsidP="00AD7210">
      <w:pPr>
        <w:pStyle w:val="NoSpacing"/>
      </w:pPr>
    </w:p>
    <w:p w14:paraId="1A66D2CF" w14:textId="62A97AFD" w:rsidR="00AD7210" w:rsidRDefault="00AD7210" w:rsidP="00AD7210">
      <w:pPr>
        <w:pStyle w:val="NoSpacing"/>
      </w:pPr>
      <w:r>
        <w:t>Looks like we have to do this every year</w:t>
      </w:r>
    </w:p>
    <w:p w14:paraId="1AE01A79" w14:textId="739B50C4" w:rsidR="00AD7210" w:rsidRDefault="00AD7210" w:rsidP="00AD7210">
      <w:pPr>
        <w:pStyle w:val="NoSpacing"/>
      </w:pPr>
      <w:r w:rsidRPr="00AD7210">
        <w:t>9x.QC_deltas.xFix35.3_root_out_change.sql</w:t>
      </w:r>
    </w:p>
    <w:p w14:paraId="28766EBC" w14:textId="6F2ACCDD" w:rsidR="00AD7210" w:rsidRDefault="00AD7210" w:rsidP="00AD7210">
      <w:pPr>
        <w:pStyle w:val="NoSpacing"/>
        <w:rPr>
          <w:highlight w:val="yellow"/>
        </w:rPr>
      </w:pPr>
    </w:p>
    <w:p w14:paraId="58022DE6" w14:textId="025AC414" w:rsidR="001C7BC8" w:rsidRPr="001C7BC8" w:rsidRDefault="001C7BC8" w:rsidP="00AD7210">
      <w:pPr>
        <w:pStyle w:val="NoSpacing"/>
      </w:pPr>
      <w:r w:rsidRPr="001C7BC8">
        <w:t>Delta QC all clean!</w:t>
      </w:r>
    </w:p>
    <w:p w14:paraId="224EF854" w14:textId="6F20DD99" w:rsidR="004E01B4" w:rsidRDefault="004E01B4" w:rsidP="00D24DFF"/>
    <w:p w14:paraId="5AE22879" w14:textId="3B3203E3" w:rsidR="001C7BC8" w:rsidRDefault="001C7BC8" w:rsidP="001C7BC8">
      <w:pPr>
        <w:pStyle w:val="Heading4"/>
      </w:pPr>
      <w:r>
        <w:t xml:space="preserve">BACKUP: </w:t>
      </w:r>
      <w:r w:rsidRPr="001C7BC8">
        <w:t>ICTVonline35.20200416.1731.step_9x_done.bak</w:t>
      </w:r>
    </w:p>
    <w:p w14:paraId="08CBEC9E" w14:textId="12411203" w:rsidR="009574EF" w:rsidRDefault="009574EF" w:rsidP="009574EF"/>
    <w:p w14:paraId="655CC1CC" w14:textId="4977DEA2" w:rsidR="009574EF" w:rsidRDefault="009574EF" w:rsidP="009574EF">
      <w:pPr>
        <w:pStyle w:val="Heading3"/>
      </w:pPr>
      <w:r>
        <w:lastRenderedPageBreak/>
        <w:t>9z0.</w:t>
      </w:r>
      <w:r w:rsidRPr="009574EF">
        <w:t>EXPORT</w:t>
      </w:r>
      <w:r>
        <w:t>_MSL_cheap_and_dirty.sql</w:t>
      </w:r>
    </w:p>
    <w:p w14:paraId="16A4D109" w14:textId="7021F3B7" w:rsidR="009574EF" w:rsidRDefault="009574EF" w:rsidP="009574EF">
      <w:pPr>
        <w:pStyle w:val="Heading3"/>
      </w:pPr>
      <w:r>
        <w:t xml:space="preserve">9zc.export terse diff </w:t>
      </w:r>
      <w:proofErr w:type="spellStart"/>
      <w:r>
        <w:t>list.sql</w:t>
      </w:r>
      <w:proofErr w:type="spellEnd"/>
    </w:p>
    <w:p w14:paraId="4985BB3A" w14:textId="06A18838" w:rsidR="009574EF" w:rsidRDefault="009574EF" w:rsidP="009574EF">
      <w:pPr>
        <w:pStyle w:val="Heading3"/>
      </w:pPr>
      <w:r>
        <w:t>9za.EXPORT_MSL_extended_from_taxonomy_node.sql</w:t>
      </w:r>
    </w:p>
    <w:p w14:paraId="7DF36E0F" w14:textId="5F3FC853" w:rsidR="009574EF" w:rsidRDefault="009574EF" w:rsidP="009574EF">
      <w:r>
        <w:t>Takes ## to run</w:t>
      </w:r>
    </w:p>
    <w:p w14:paraId="2CF51343" w14:textId="77777777" w:rsidR="009574EF" w:rsidRPr="009574EF" w:rsidRDefault="009574EF" w:rsidP="009574EF"/>
    <w:p w14:paraId="6198992E" w14:textId="74619382" w:rsidR="00CB7038" w:rsidRDefault="00CB7038" w:rsidP="009A6D95">
      <w:pPr>
        <w:pStyle w:val="NoSpacing"/>
      </w:pPr>
    </w:p>
    <w:p w14:paraId="5E64E174" w14:textId="116FEA32" w:rsidR="008C4644" w:rsidRDefault="008C4644" w:rsidP="009A6D95">
      <w:pPr>
        <w:pStyle w:val="NoSpacing"/>
      </w:pPr>
      <w:proofErr w:type="spellStart"/>
      <w:r w:rsidRPr="008C4644">
        <w:rPr>
          <w:highlight w:val="yellow"/>
        </w:rPr>
        <w:t>Todo</w:t>
      </w:r>
      <w:proofErr w:type="spellEnd"/>
      <w:proofErr w:type="gramStart"/>
      <w:r w:rsidRPr="008C4644">
        <w:rPr>
          <w:highlight w:val="yellow"/>
        </w:rPr>
        <w:t>?\</w:t>
      </w:r>
      <w:proofErr w:type="gramEnd"/>
      <w:r w:rsidRPr="008C4644">
        <w:rPr>
          <w:highlight w:val="yellow"/>
        </w:rPr>
        <w:t>: script before and after whole-</w:t>
      </w:r>
      <w:proofErr w:type="spellStart"/>
      <w:r w:rsidRPr="008C4644">
        <w:rPr>
          <w:highlight w:val="yellow"/>
        </w:rPr>
        <w:t>db</w:t>
      </w:r>
      <w:proofErr w:type="spellEnd"/>
      <w:r w:rsidRPr="008C4644">
        <w:rPr>
          <w:highlight w:val="yellow"/>
        </w:rPr>
        <w:t>-schema</w:t>
      </w:r>
    </w:p>
    <w:p w14:paraId="0D783A50" w14:textId="77777777" w:rsidR="008C4644" w:rsidRPr="001D017B" w:rsidRDefault="008C4644" w:rsidP="009A6D95">
      <w:pPr>
        <w:pStyle w:val="NoSpacing"/>
      </w:pPr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44714BDB" w:rsidR="00301C64" w:rsidRDefault="009574EF" w:rsidP="00606B9D">
      <w:pPr>
        <w:pStyle w:val="Heading3"/>
      </w:pPr>
      <w:proofErr w:type="gramStart"/>
      <w:r>
        <w:t>survey</w:t>
      </w:r>
      <w:proofErr w:type="gramEnd"/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lastRenderedPageBreak/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lastRenderedPageBreak/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4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lastRenderedPageBreak/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45B55"/>
    <w:rsid w:val="001577BA"/>
    <w:rsid w:val="00170AE4"/>
    <w:rsid w:val="00185388"/>
    <w:rsid w:val="001935C9"/>
    <w:rsid w:val="001955CA"/>
    <w:rsid w:val="001A7412"/>
    <w:rsid w:val="001C7794"/>
    <w:rsid w:val="001C7BC8"/>
    <w:rsid w:val="001D017B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4592C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4E01B4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21B4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91AA5"/>
    <w:rsid w:val="008A5895"/>
    <w:rsid w:val="008B60A5"/>
    <w:rsid w:val="008C2CF1"/>
    <w:rsid w:val="008C4644"/>
    <w:rsid w:val="008D15C9"/>
    <w:rsid w:val="008E4AA5"/>
    <w:rsid w:val="008F1FA8"/>
    <w:rsid w:val="009252AB"/>
    <w:rsid w:val="009272A1"/>
    <w:rsid w:val="00933AF1"/>
    <w:rsid w:val="00937907"/>
    <w:rsid w:val="009574EF"/>
    <w:rsid w:val="009623D1"/>
    <w:rsid w:val="009745AF"/>
    <w:rsid w:val="009861EB"/>
    <w:rsid w:val="009A2619"/>
    <w:rsid w:val="009A6D95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73153"/>
    <w:rsid w:val="00A814AF"/>
    <w:rsid w:val="00A81F1A"/>
    <w:rsid w:val="00A958D6"/>
    <w:rsid w:val="00AA0658"/>
    <w:rsid w:val="00AB37BA"/>
    <w:rsid w:val="00AC4491"/>
    <w:rsid w:val="00AD7210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B7038"/>
    <w:rsid w:val="00CE1064"/>
    <w:rsid w:val="00CE7660"/>
    <w:rsid w:val="00D23999"/>
    <w:rsid w:val="00D24DFF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210D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811EB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1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A7315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61375.32C1EE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s://talk.ictvonline.org/taxonomy/p/taxonomy-history?taxnode_id=201857060" TargetMode="External"/><Relationship Id="rId5" Type="http://schemas.openxmlformats.org/officeDocument/2006/relationships/hyperlink" Target="https://uab.box.com/s/hd790t74xcj157jmrjqvoc6tmq06ax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ctvonline.org/virusTaxonom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9690</TotalTime>
  <Pages>19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108</cp:revision>
  <dcterms:created xsi:type="dcterms:W3CDTF">2015-02-20T23:37:00Z</dcterms:created>
  <dcterms:modified xsi:type="dcterms:W3CDTF">2020-04-17T20:51:00Z</dcterms:modified>
</cp:coreProperties>
</file>