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open source unit test framework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TDD Test Driven Development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design test cases in proper way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Generate html report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annotations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priorities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dependencies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grouping (reports will be generated in groups, keyword - groups)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data provider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Java testing framework - works only for java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TestNG plugin for eclipse from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http://beust.com/eclipse/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Help in eclipse.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the URL in the “Work with” field - TestNG option will be displayed below.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checkbox and also check last option “Contact *****” and click Next &amp; Finish.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Executed in below order: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@BeforeSuite @AfterSuite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@BeforeTest @AfterTest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@BeforeClass @AfterClass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@BeforeMethod @AfterMethod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@Test - No of test cases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Each annotation should be associated with a method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 If there are 2 test cases, it will be executed in the below order: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@BeforeSuite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@BeforeTest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@BeforeClass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@BeforeMethod @Test1 @AfterMethod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@BeforeMethod @Test2 @AfterMethod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@AfterClass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@AfterTest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@AfterSuite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 Can also add priority to execute test cases in priority order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@Test1(priority=1)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@Test2(priority=2)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testcase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package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class - Do not select main method option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it as TestNG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eust.com/eclip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