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line="240" w:lineRule="auto"/>
        <w:jc w:val="left"/>
        <w:pBdr>
          <w:bottom w:val="single" w:sz="14" w:space="4" w:color="B88A2C"/>
        </w:pBdr>
      </w:pPr>
      <w:r>
        <w:rPr>
          <w:rFonts w:ascii="Helvetica" w:hAnsi="Helvetica" w:cs="Helvetica"/>
          <w:b/>
          <w:sz w:val="60"/>
        </w:rPr>
        <w:t>MEMORANDUM</w:t>
      </w:r>
    </w:p>
    <w:tbl>
      <w:tblPr>
        <w:tblW w:type="auto" w:w="0"/>
        <w:jc w:val="left"/>
        <w:tblLayout w:type="fixed"/>
        <w:tblLook w:firstColumn="1" w:firstRow="1" w:lastColumn="0" w:lastRow="0" w:noHBand="0" w:noVBand="1" w:val="04A0"/>
      </w:tblPr>
      <w:tblGrid>
        <w:gridCol w:w="4680"/>
        <w:gridCol w:w="4680"/>
      </w:tblGrid>
      <w:tr>
        <w:trPr>
          <w:trHeight w:val="490"/>
        </w:trPr>
        <w:tc>
          <w:tcPr>
            <w:tcW w:w="1655" w:type="dxa"/>
            <w:shd w:val="clear" w:color="auto" w:fill="1F2A5A"/>
            <w:tcBorders>
              <w:top w:val="single" w:sz="18" w:space="0" w:color="1F2A5A"/>
              <w:left w:val="nil"/>
              <w:bottom w:val="single" w:sz="4" w:space="0" w:color="E2E5EC"/>
              <w:right w:val="nil"/>
            </w:tcBorders>
            <w:tcMar>
              <w:top w:w="90" w:type="dxa"/>
              <w:left w:w="150" w:type="dxa"/>
              <w:bottom w:w="90" w:type="dxa"/>
              <w:right w:w="150" w:type="dxa"/>
            </w:tcMar>
          </w:tcPr>
          <w:p>
            <w:pPr>
              <w:spacing w:after="0" w:line="288" w:lineRule="auto" w:before="0"/>
              <w:jc w:val="left"/>
              <w:rPr>
                <w:color w:val="FFFFFF"/>
              </w:rPr>
            </w:pPr>
            <w:r>
              <w:rPr>
                <w:rFonts w:ascii="Helvetica" w:hAnsi="Helvetica" w:cs="Helvetica"/>
                <w:b/>
                <w:color w:val="FFFFFF"/>
                <w:sz w:val="19"/>
              </w:rPr>
              <w:t>TO:</w:t>
            </w:r>
          </w:p>
        </w:tc>
        <w:tc>
          <w:tcPr>
            <w:tcW w:w="8063" w:type="dxa"/>
            <w:shd w:val="clear" w:color="auto" w:fill="FFFFFF"/>
            <w:tcBorders>
              <w:top w:val="single" w:sz="18" w:space="0" w:color="1F2A5A"/>
              <w:left w:val="nil"/>
              <w:bottom w:val="single" w:sz="4" w:space="0" w:color="E2E5EC"/>
              <w:right w:val="nil"/>
            </w:tcBorders>
            <w:tcMar>
              <w:top w:w="90" w:type="dxa"/>
              <w:left w:w="150" w:type="dxa"/>
              <w:bottom w:w="90" w:type="dxa"/>
              <w:right w:w="150" w:type="dxa"/>
            </w:tcMar>
          </w:tcPr>
          <w:p>
            <w:pPr>
              <w:spacing w:after="0" w:line="288" w:lineRule="auto" w:before="0"/>
            </w:pPr>
            <w:r>
              <w:rPr>
                <w:rFonts w:ascii="Helvetica" w:hAnsi="Helvetica" w:cs="Helvetica"/>
                <w:sz w:val="21"/>
              </w:rPr>
              <w:t>Michael Labeson, Chief Executive Officer</w:t>
            </w:r>
          </w:p>
          <w:p>
            <w:pPr>
              <w:spacing w:after="0" w:line="288" w:lineRule="auto" w:before="0"/>
            </w:pPr>
            <w:r>
              <w:rPr>
                <w:rFonts w:ascii="Helvetica" w:hAnsi="Helvetica" w:cs="Helvetica"/>
                <w:sz w:val="21"/>
              </w:rPr>
              <w:t>Anjelina Brocollini, Head of People</w:t>
            </w:r>
          </w:p>
        </w:tc>
      </w:tr>
      <w:tr>
        <w:trPr>
          <w:trHeight w:val="490"/>
        </w:trPr>
        <w:tc>
          <w:tcPr>
            <w:tcW w:w="1655" w:type="dxa"/>
            <w:shd w:val="clear" w:color="auto" w:fill="1F2A5A"/>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jc w:val="left"/>
              <w:rPr>
                <w:color w:val="FFFFFF"/>
              </w:rPr>
            </w:pPr>
            <w:r>
              <w:rPr>
                <w:rFonts w:ascii="Helvetica" w:hAnsi="Helvetica" w:cs="Helvetica"/>
                <w:b/>
                <w:color w:val="FFFFFF"/>
                <w:sz w:val="19"/>
              </w:rPr>
              <w:t>FROM:</w:t>
            </w:r>
          </w:p>
        </w:tc>
        <w:tc>
          <w:tcPr>
            <w:tcW w:w="8063" w:type="dxa"/>
            <w:shd w:val="clear" w:color="auto" w:fill="EEF1F7"/>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pPr>
            <w:r>
              <w:rPr>
                <w:rFonts w:ascii="Helvetica" w:hAnsi="Helvetica" w:cs="Helvetica"/>
                <w:sz w:val="21"/>
              </w:rPr>
              <w:t>Krystale Jumawan, Finance Manager</w:t>
            </w:r>
          </w:p>
        </w:tc>
      </w:tr>
      <w:tr>
        <w:trPr>
          <w:trHeight w:val="490"/>
        </w:trPr>
        <w:tc>
          <w:tcPr>
            <w:tcW w:w="1655" w:type="dxa"/>
            <w:shd w:val="clear" w:color="auto" w:fill="1F2A5A"/>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jc w:val="left"/>
              <w:rPr>
                <w:color w:val="FFFFFF"/>
              </w:rPr>
            </w:pPr>
            <w:r>
              <w:rPr>
                <w:rFonts w:ascii="Helvetica" w:hAnsi="Helvetica" w:cs="Helvetica"/>
                <w:b/>
                <w:color w:val="FFFFFF"/>
                <w:sz w:val="19"/>
              </w:rPr>
              <w:t>DATE:</w:t>
            </w:r>
          </w:p>
        </w:tc>
        <w:tc>
          <w:tcPr>
            <w:tcW w:w="8063" w:type="dxa"/>
            <w:shd w:val="clear" w:color="auto" w:fill="FFFFFF"/>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pPr>
            <w:r>
              <w:rPr>
                <w:rFonts w:ascii="Helvetica" w:hAnsi="Helvetica" w:cs="Helvetica"/>
                <w:sz w:val="21"/>
              </w:rPr>
              <w:t>08/06/2026</w:t>
            </w:r>
          </w:p>
        </w:tc>
      </w:tr>
      <w:tr>
        <w:trPr>
          <w:trHeight w:val="490"/>
        </w:trPr>
        <w:tc>
          <w:tcPr>
            <w:tcW w:w="1655" w:type="dxa"/>
            <w:shd w:val="clear" w:color="auto" w:fill="1F2A5A"/>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jc w:val="left"/>
              <w:rPr>
                <w:color w:val="FFFFFF"/>
              </w:rPr>
            </w:pPr>
            <w:r>
              <w:rPr>
                <w:rFonts w:ascii="Helvetica" w:hAnsi="Helvetica" w:cs="Helvetica"/>
                <w:b/>
                <w:color w:val="FFFFFF"/>
                <w:sz w:val="19"/>
              </w:rPr>
              <w:t>RE:</w:t>
            </w:r>
          </w:p>
        </w:tc>
        <w:tc>
          <w:tcPr>
            <w:tcW w:w="8063" w:type="dxa"/>
            <w:shd w:val="clear" w:color="auto" w:fill="EEF1F7"/>
            <w:tcBorders>
              <w:top w:val="single" w:sz="4" w:space="0" w:color="E2E5EC"/>
              <w:left w:val="nil"/>
              <w:bottom w:val="single" w:sz="4" w:space="0" w:color="E2E5EC"/>
              <w:right w:val="nil"/>
            </w:tcBorders>
            <w:tcMar>
              <w:top w:w="90" w:type="dxa"/>
              <w:left w:w="150" w:type="dxa"/>
              <w:bottom w:w="90" w:type="dxa"/>
              <w:right w:w="150" w:type="dxa"/>
            </w:tcMar>
          </w:tcPr>
          <w:p>
            <w:pPr>
              <w:spacing w:after="0" w:line="288" w:lineRule="auto" w:before="0"/>
            </w:pPr>
            <w:r>
              <w:rPr>
                <w:rFonts w:ascii="Helvetica" w:hAnsi="Helvetica" w:cs="Helvetica"/>
                <w:sz w:val="21"/>
              </w:rPr>
              <w:t>Fully Loaded Cost Methodology for Board Reporting</w:t>
            </w:r>
          </w:p>
        </w:tc>
      </w:tr>
    </w:tbl>
    <w:p>
      <w:pPr>
        <w:spacing w:before="0" w:after="0" w:line="240" w:lineRule="auto"/>
        <w:pBdr>
          <w:bottom w:val="single" w:sz="6" w:space="1" w:color="000000"/>
        </w:pBdr>
      </w:pPr>
    </w:p>
    <w:p>
      <w:pPr>
        <w:keepNext/>
        <w:spacing w:before="300" w:after="80" w:line="264" w:lineRule="auto"/>
        <w:pBdr>
          <w:bottom w:val="single" w:sz="6" w:space="3" w:color="D9DEE8"/>
        </w:pBdr>
      </w:pPr>
      <w:r>
        <w:rPr>
          <w:rFonts w:ascii="Helvetica" w:hAnsi="Helvetica" w:cs="Helvetica"/>
          <w:b/>
          <w:sz w:val="28"/>
        </w:rPr>
        <w:t>1. Purpose</w:t>
      </w:r>
    </w:p>
    <w:p>
      <w:pPr>
        <w:spacing w:after="140" w:line="322" w:lineRule="auto" w:before="0"/>
        <w:jc w:val="both"/>
      </w:pPr>
      <w:r>
        <w:rPr>
          <w:rFonts w:ascii="Helvetica" w:hAnsi="Helvetica" w:cs="Helvetica"/>
          <w:sz w:val="21"/>
        </w:rPr>
        <w:t>At the 12/10/2025 board meeting, the board asked Finance to standardize how monthly burn is measured and reported, so that each period's figure can be compared consistently against cash on hand and translated into a runway estimate. Ad-hoc variations between deck cycles were flagged as making trend commentary unreliable. This memo sets the single convention Finance will use for every subsequent board deck, investor update, and internal burn or runway figure, effective immediately.</w:t>
      </w:r>
    </w:p>
    <w:p>
      <w:pPr>
        <w:keepNext/>
        <w:spacing w:before="300" w:after="80" w:line="264" w:lineRule="auto"/>
        <w:pBdr>
          <w:bottom w:val="single" w:sz="6" w:space="3" w:color="D9DEE8"/>
        </w:pBdr>
      </w:pPr>
      <w:r>
        <w:rPr>
          <w:rFonts w:ascii="Helvetica" w:hAnsi="Helvetica" w:cs="Helvetica"/>
          <w:b/>
          <w:sz w:val="28"/>
        </w:rPr>
        <w:t>2. Board Convention</w:t>
      </w:r>
    </w:p>
    <w:p>
      <w:pPr>
        <w:spacing w:after="140" w:line="322" w:lineRule="auto" w:before="0"/>
        <w:jc w:val="both"/>
      </w:pPr>
      <w:r>
        <w:rPr>
          <w:rFonts w:ascii="Helvetica" w:hAnsi="Helvetica" w:cs="Helvetica"/>
          <w:sz w:val="21"/>
        </w:rPr>
        <w:t>The convention adopted by the board is a zero-revenue view of burn. Monthly burn is measured with no customer receipts, deferred revenue release, or ARR-driven cash inflow offset. Recurring subscription cash and any nonrecurring receipts are excluded from the burn calculation and reported separately in the cash walk.</w:t>
      </w:r>
    </w:p>
    <w:p>
      <w:pPr>
        <w:spacing w:after="140" w:line="322" w:lineRule="auto" w:before="0"/>
        <w:jc w:val="both"/>
      </w:pPr>
      <w:r>
        <w:rPr>
          <w:rFonts w:ascii="Helvetica" w:hAnsi="Helvetica" w:cs="Helvetica"/>
          <w:sz w:val="21"/>
        </w:rPr>
        <w:t>The purpose of the zero-revenue view is to give the board a clean read on committed fixed operating cost, independent of collections timing, churn events, or one-time cash movements that would otherwise mask underlying spend. Under this convention, monthly burn represents fully loaded people cost only. Non-people operating expenses (rent, software, professional services, contractor spend, marketing programs, T&amp;E, benefits administration fees, and similar) are tracked and forecast separately on the cash walk and are not folded into the monthly burn line reported to the board.</w:t>
      </w:r>
    </w:p>
    <w:p>
      <w:pPr>
        <w:keepNext/>
        <w:spacing w:before="300" w:after="80" w:line="264" w:lineRule="auto"/>
        <w:pBdr>
          <w:bottom w:val="single" w:sz="6" w:space="3" w:color="D9DEE8"/>
        </w:pBdr>
      </w:pPr>
      <w:r>
        <w:rPr>
          <w:rFonts w:ascii="Helvetica" w:hAnsi="Helvetica" w:cs="Helvetica"/>
          <w:b/>
          <w:sz w:val="28"/>
        </w:rPr>
        <w:t>3. Definition</w:t>
      </w:r>
    </w:p>
    <w:p>
      <w:pPr>
        <w:spacing w:after="140" w:line="322" w:lineRule="auto" w:before="0"/>
        <w:jc w:val="both"/>
      </w:pPr>
      <w:r>
        <w:rPr>
          <w:rFonts w:ascii="Helvetica" w:hAnsi="Helvetica" w:cs="Helvetica"/>
          <w:sz w:val="21"/>
        </w:rPr>
        <w:t>Monthly burn = (annual base pay rate of active employees as recorded in the HRIS on the report date) × fully loaded multiplier of 1.28 divided by 12. Runway = cash at the report date divided by monthly burn. Headcount for board reporting counts active employees only, excludes contractors, excludes accepted offers with future start dates, and counts as of the report date.</w:t>
      </w:r>
    </w:p>
    <w:p>
      <w:pPr>
        <w:spacing w:after="140" w:line="322" w:lineRule="auto" w:before="0"/>
        <w:jc w:val="both"/>
      </w:pPr>
      <w:r>
        <w:rPr>
          <w:rFonts w:ascii="Helvetica" w:hAnsi="Helvetica" w:cs="Helvetica"/>
          <w:sz w:val="21"/>
        </w:rPr>
        <w:t>The following inclusion rules apply without exception:</w:t>
      </w:r>
    </w:p>
    <w:p>
      <w:pPr>
        <w:pStyle w:val="ListBullet"/>
        <w:spacing w:after="140" w:line="322" w:lineRule="auto" w:before="0"/>
        <w:jc w:val="both"/>
      </w:pPr>
      <w:r>
        <w:rPr>
          <w:rFonts w:ascii="Helvetica" w:hAnsi="Helvetica" w:cs="Helvetica"/>
          <w:b/>
          <w:sz w:val="21"/>
        </w:rPr>
        <w:t>Salary source.</w:t>
      </w:r>
      <w:r>
        <w:rPr>
          <w:rFonts w:ascii="Helvetica" w:hAnsi="Helvetica" w:cs="Helvetica"/>
          <w:sz w:val="21"/>
        </w:rPr>
        <w:t xml:space="preserve"> The annual base pay rate is the value carried in the HRIS employee record on the report date.</w:t>
      </w:r>
    </w:p>
    <w:p>
      <w:pPr>
        <w:pStyle w:val="ListBullet"/>
        <w:spacing w:after="140" w:line="322" w:lineRule="auto" w:before="0"/>
        <w:jc w:val="both"/>
      </w:pPr>
      <w:r>
        <w:rPr>
          <w:rFonts w:ascii="Helvetica" w:hAnsi="Helvetica" w:cs="Helvetica"/>
          <w:b/>
          <w:sz w:val="21"/>
        </w:rPr>
        <w:t>Multiplier.</w:t>
      </w:r>
      <w:r>
        <w:rPr>
          <w:rFonts w:ascii="Helvetica" w:hAnsi="Helvetica" w:cs="Helvetica"/>
          <w:sz w:val="21"/>
        </w:rPr>
        <w:t xml:space="preserve"> The 1.28 fully loaded multiplier is a fixed factor that captures employer payroll taxes, medical and ancillary benefits, 401(k) match, and standard overhead attributable to each employee. The multiplier is applied uniformly to every active employee and is not tiered by role, level, or benefit election.</w:t>
      </w:r>
    </w:p>
    <w:p>
      <w:pPr>
        <w:pStyle w:val="ListBullet"/>
        <w:spacing w:after="140" w:line="322" w:lineRule="auto" w:before="0"/>
        <w:jc w:val="both"/>
      </w:pPr>
      <w:r>
        <w:rPr>
          <w:rFonts w:ascii="Helvetica" w:hAnsi="Helvetica" w:cs="Helvetica"/>
          <w:b/>
          <w:sz w:val="21"/>
        </w:rPr>
        <w:t>Active employees only.</w:t>
      </w:r>
      <w:r>
        <w:rPr>
          <w:rFonts w:ascii="Helvetica" w:hAnsi="Helvetica" w:cs="Helvetica"/>
          <w:sz w:val="21"/>
        </w:rPr>
        <w:t xml:space="preserve"> An employee is counted if the HRIS record shows an active employment status on the report date. Employees whose employment ended on or before the report date are excluded from the report date forward; the reconciled active list governs.</w:t>
      </w:r>
    </w:p>
    <w:p>
      <w:pPr>
        <w:pStyle w:val="ListBullet"/>
        <w:spacing w:after="140" w:line="322" w:lineRule="auto" w:before="0"/>
        <w:jc w:val="both"/>
      </w:pPr>
      <w:r>
        <w:rPr>
          <w:rFonts w:ascii="Helvetica" w:hAnsi="Helvetica" w:cs="Helvetica"/>
          <w:b/>
          <w:sz w:val="21"/>
        </w:rPr>
        <w:t>Excludes contractors.</w:t>
      </w:r>
      <w:r>
        <w:rPr>
          <w:rFonts w:ascii="Helvetica" w:hAnsi="Helvetica" w:cs="Helvetica"/>
          <w:sz w:val="21"/>
        </w:rPr>
        <w:t xml:space="preserve"> Independent contractors and 1099-classified workers are not included in the headcount or the salary base, irrespective of hours worked. Contractor spend is reported on the cash walk as a separate line.</w:t>
      </w:r>
    </w:p>
    <w:p>
      <w:pPr>
        <w:pStyle w:val="ListBullet"/>
        <w:spacing w:after="140" w:line="322" w:lineRule="auto" w:before="0"/>
        <w:jc w:val="both"/>
      </w:pPr>
      <w:r>
        <w:rPr>
          <w:rFonts w:ascii="Helvetica" w:hAnsi="Helvetica" w:cs="Helvetica"/>
          <w:b/>
          <w:sz w:val="21"/>
        </w:rPr>
        <w:t>Excludes accepted offers with future start dates.</w:t>
      </w:r>
      <w:r>
        <w:rPr>
          <w:rFonts w:ascii="Helvetica" w:hAnsi="Helvetica" w:cs="Helvetica"/>
          <w:sz w:val="21"/>
        </w:rPr>
        <w:t xml:space="preserve"> Candidates who have signed an offer but whose start date is after the report date are not included. They enter the burn calculation only on the report date at or after their actual start date.</w:t>
      </w:r>
    </w:p>
    <w:p>
      <w:pPr>
        <w:pStyle w:val="ListBullet"/>
        <w:spacing w:after="140" w:line="322" w:lineRule="auto" w:before="0"/>
        <w:jc w:val="both"/>
      </w:pPr>
      <w:r>
        <w:rPr>
          <w:rFonts w:ascii="Helvetica" w:hAnsi="Helvetica" w:cs="Helvetica"/>
          <w:b/>
          <w:sz w:val="21"/>
        </w:rPr>
        <w:t>As of the report date.</w:t>
      </w:r>
      <w:r>
        <w:rPr>
          <w:rFonts w:ascii="Helvetica" w:hAnsi="Helvetica" w:cs="Helvetica"/>
          <w:sz w:val="21"/>
        </w:rPr>
        <w:t xml:space="preserve"> Every input (active employee list, base pay rates, and cash) is taken as of the report date. Mid-month changes that are effective after the report date do not affect that period's report.</w:t>
      </w:r>
    </w:p>
    <w:p>
      <w:pPr>
        <w:keepNext/>
        <w:spacing w:before="300" w:after="80" w:line="264" w:lineRule="auto"/>
        <w:pBdr>
          <w:bottom w:val="single" w:sz="6" w:space="3" w:color="D9DEE8"/>
        </w:pBdr>
      </w:pPr>
      <w:r>
        <w:rPr>
          <w:rFonts w:ascii="Helvetica" w:hAnsi="Helvetica" w:cs="Helvetica"/>
          <w:b/>
          <w:sz w:val="28"/>
        </w:rPr>
        <w:t>4. Application</w:t>
      </w:r>
    </w:p>
    <w:p>
      <w:pPr>
        <w:spacing w:after="140" w:line="322" w:lineRule="auto" w:before="0"/>
        <w:jc w:val="both"/>
      </w:pPr>
      <w:r>
        <w:rPr>
          <w:rFonts w:ascii="Helvetica" w:hAnsi="Helvetica" w:cs="Helvetica"/>
          <w:sz w:val="21"/>
        </w:rPr>
        <w:t>This methodology applies to every board deck, every investor update, and every internal burn or runway figure produced by Finance from this date forward. Prior period figures that were prepared on a different convention are not restated; the new convention takes effect with the next board reporting cycle. Any deviation from the convention above requires written approval from the CEO and must be footnoted on the reporting page where it appears. Questions on scope or application should be routed to Finance.</w:t>
      </w:r>
    </w:p>
    <w:p>
      <w:pPr>
        <w:spacing w:before="0" w:after="80" w:line="240" w:lineRule="auto"/>
        <w:pBdr>
          <w:bottom w:val="single" w:sz="6" w:space="1" w:color="000000"/>
        </w:pBdr>
      </w:pPr>
    </w:p>
    <w:p>
      <w:pPr>
        <w:spacing w:after="0" w:before="160" w:line="276" w:lineRule="auto"/>
        <w:jc w:val="left"/>
      </w:pPr>
      <w:r>
        <w:rPr>
          <w:rFonts w:ascii="Helvetica" w:hAnsi="Helvetica" w:cs="Helvetica"/>
          <w:b/>
          <w:sz w:val="23"/>
        </w:rPr>
        <w:t>Krystale Jumawan</w:t>
      </w:r>
    </w:p>
    <w:p>
      <w:pPr>
        <w:spacing w:after="0" w:before="0" w:line="276" w:lineRule="auto"/>
        <w:jc w:val="left"/>
      </w:pPr>
      <w:r>
        <w:rPr>
          <w:rFonts w:ascii="Helvetica" w:hAnsi="Helvetica" w:cs="Helvetica"/>
          <w:b w:val="0"/>
          <w:sz w:val="20"/>
        </w:rPr>
        <w:t>Finance Manager</w:t>
      </w:r>
    </w:p>
    <w:p>
      <w:pPr>
        <w:spacing w:after="0" w:before="0" w:line="276" w:lineRule="auto"/>
        <w:jc w:val="left"/>
      </w:pPr>
      <w:r>
        <w:rPr>
          <w:rFonts w:ascii="Helvetica" w:hAnsi="Helvetica" w:cs="Helvetica"/>
          <w:b w:val="0"/>
          <w:sz w:val="20"/>
        </w:rPr>
        <w:t>08/06/2026</w:t>
      </w:r>
    </w:p>
    <w:sectPr w:rsidR="00FC693F" w:rsidRPr="0006063C" w:rsidSect="00034616">
      <w:pgSz w:w="12240" w:h="15840"/>
      <w:pgMar w:top="1296" w:right="1656" w:bottom="1296"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40"/>
    </w:pPr>
    <w:rPr>
      <w:rFonts w:ascii="Helvetica" w:hAnsi="Helvetica" w:cs="Helvetica"/>
      <w:color w:val="2226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12" w:lineRule="auto"/>
      <w:contextualSpacing/>
    </w:pPr>
    <w:rPr>
      <w:rFonts w:ascii="Helvetica" w:hAnsi="Helvetica"/>
      <w:color w:val="2226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ategory/>
  <dc:creator xmlns:dc="http://purl.org/dc/elements/1.1/">Michael Labeson</dc:creator>
  <cp:lastModifiedBy>Michael Labeson</cp:lastModifiedBy>
</cp:coreProperties>
</file>