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64" w:lineRule="auto"/>
        <w:jc w:val="left"/>
      </w:pPr>
      <w:r>
        <w:rPr>
          <w:rFonts w:ascii="Helvetica" w:hAnsi="Helvetica" w:cs="Helvetica" w:eastAsia="Helvetica"/>
          <w:b/>
          <w:i w:val="0"/>
          <w:color w:val="1F2A5C"/>
          <w:sz w:val="48"/>
        </w:rPr>
        <w:t>Troutly Analytics — Leveling Guide</w:t>
      </w:r>
    </w:p>
    <w:p>
      <w:pPr>
        <w:spacing w:before="0" w:after="200"/>
      </w:pPr>
      <w:r>
        <w:rPr>
          <w:rFonts w:ascii="Helvetica" w:hAnsi="Helvetica" w:cs="Helvetica" w:eastAsia="Helvetica"/>
          <w:i/>
          <w:color w:val="5B6373"/>
          <w:sz w:val="24"/>
        </w:rPr>
        <w:t>People Operations</w:t>
      </w:r>
    </w:p>
    <w:p>
      <w:pPr>
        <w:spacing w:after="40" w:before="0" w:line="312" w:lineRule="auto"/>
      </w:pPr>
      <w:r>
        <w:rPr>
          <w:rFonts w:ascii="Helvetica" w:hAnsi="Helvetica" w:cs="Helvetica" w:eastAsia="Helvetica"/>
          <w:b/>
          <w:color w:val="1F2A5C"/>
          <w:sz w:val="19"/>
        </w:rPr>
        <w:t xml:space="preserve">Version:  </w:t>
      </w:r>
      <w:r>
        <w:rPr>
          <w:rFonts w:ascii="Helvetica" w:hAnsi="Helvetica" w:cs="Helvetica" w:eastAsia="Helvetica"/>
          <w:b w:val="0"/>
          <w:color w:val="5B6373"/>
          <w:sz w:val="19"/>
        </w:rPr>
        <w:t>2.1</w:t>
      </w:r>
    </w:p>
    <w:p>
      <w:pPr>
        <w:spacing w:after="40" w:before="0" w:line="312" w:lineRule="auto"/>
      </w:pPr>
      <w:r>
        <w:rPr>
          <w:rFonts w:ascii="Helvetica" w:hAnsi="Helvetica" w:cs="Helvetica" w:eastAsia="Helvetica"/>
          <w:b/>
          <w:color w:val="1F2A5C"/>
          <w:sz w:val="19"/>
        </w:rPr>
        <w:t xml:space="preserve">Issued by:  </w:t>
      </w:r>
      <w:r>
        <w:rPr>
          <w:rFonts w:ascii="Helvetica" w:hAnsi="Helvetica" w:cs="Helvetica" w:eastAsia="Helvetica"/>
          <w:b w:val="0"/>
          <w:color w:val="5B6373"/>
          <w:sz w:val="19"/>
        </w:rPr>
        <w:t>People Operations, in consultation with Sora Jackson (CTO)</w:t>
      </w:r>
    </w:p>
    <w:p>
      <w:pPr>
        <w:spacing w:after="40" w:before="0" w:line="312" w:lineRule="auto"/>
      </w:pPr>
      <w:r>
        <w:rPr>
          <w:rFonts w:ascii="Helvetica" w:hAnsi="Helvetica" w:cs="Helvetica" w:eastAsia="Helvetica"/>
          <w:b/>
          <w:color w:val="1F2A5C"/>
          <w:sz w:val="19"/>
        </w:rPr>
        <w:t xml:space="preserve">Applies to:  </w:t>
      </w:r>
      <w:r>
        <w:rPr>
          <w:rFonts w:ascii="Helvetica" w:hAnsi="Helvetica" w:cs="Helvetica" w:eastAsia="Helvetica"/>
          <w:b w:val="0"/>
          <w:color w:val="5B6373"/>
          <w:sz w:val="19"/>
        </w:rPr>
        <w:t>All regular employees of Troutly Analytics, Inc.</w:t>
      </w:r>
    </w:p>
    <w:p>
      <w:pPr>
        <w:spacing w:after="40" w:before="0" w:line="312" w:lineRule="auto"/>
      </w:pPr>
      <w:r>
        <w:rPr>
          <w:rFonts w:ascii="Helvetica" w:hAnsi="Helvetica" w:cs="Helvetica" w:eastAsia="Helvetica"/>
          <w:b/>
          <w:color w:val="1F2A5C"/>
          <w:sz w:val="19"/>
        </w:rPr>
        <w:t xml:space="preserve">Last updated:  </w:t>
      </w:r>
      <w:r>
        <w:rPr>
          <w:rFonts w:ascii="Helvetica" w:hAnsi="Helvetica" w:cs="Helvetica" w:eastAsia="Helvetica"/>
          <w:b w:val="0"/>
          <w:color w:val="5B6373"/>
          <w:sz w:val="19"/>
        </w:rPr>
        <w:t>07/15/2026</w:t>
      </w:r>
    </w:p>
    <w:p>
      <w:pPr>
        <w:pBdr>
          <w:bottom w:val="single" w:sz="6" w:space="1" w:color="000000"/>
        </w:pBdr>
      </w:pPr>
    </w:p>
    <w:p>
      <w:pPr>
        <w:spacing w:before="320" w:after="120" w:line="276" w:lineRule="auto"/>
      </w:pPr>
      <w:r>
        <w:rPr>
          <w:rFonts w:ascii="Helvetica" w:hAnsi="Helvetica" w:cs="Helvetica" w:eastAsia="Helvetica"/>
          <w:b/>
          <w:i w:val="0"/>
          <w:color w:val="1F2A5C"/>
          <w:sz w:val="28"/>
        </w:rPr>
        <w:t>1. Purpose</w:t>
      </w:r>
    </w:p>
    <w:p>
      <w:pPr>
        <w:spacing w:after="140" w:line="341" w:lineRule="auto" w:before="0"/>
      </w:pPr>
      <w:r>
        <w:rPr>
          <w:rFonts w:ascii="Helvetica" w:hAnsi="Helvetica" w:cs="Helvetica" w:eastAsia="Helvetica"/>
          <w:b w:val="0"/>
          <w:i w:val="0"/>
          <w:color w:val="222A35"/>
          <w:sz w:val="21"/>
        </w:rPr>
        <w:t>This guide is the single authoritative reference for job levels at Troutly Analytics. It exists to make three recurring People Operations decisions defensible and consistent: (a) the level assigned to any newly opened requisition, (b) the level and salary band applied to any external offer, and (c) the level held by any existing employee going into the annual compensation cycle. Managers, recruiters, and finance partners should treat the mappings in Section 3 as controlling; any title that appears in a requisition, offer letter, HRIS record, or wiki page but does not resolve cleanly against this guide must be reconciled to a canonical level before the record is considered clean.</w:t>
      </w:r>
    </w:p>
    <w:p>
      <w:pPr>
        <w:spacing w:after="140" w:line="341" w:lineRule="auto" w:before="0"/>
      </w:pPr>
      <w:r>
        <w:rPr>
          <w:rFonts w:ascii="Helvetica" w:hAnsi="Helvetica" w:cs="Helvetica" w:eastAsia="Helvetica"/>
          <w:b w:val="0"/>
          <w:i w:val="0"/>
          <w:color w:val="222A35"/>
          <w:sz w:val="21"/>
        </w:rPr>
        <w:t>Levels are used in four operational contexts.</w:t>
      </w:r>
    </w:p>
    <w:p>
      <w:pPr>
        <w:spacing w:after="140" w:line="341" w:lineRule="auto" w:before="0"/>
      </w:pPr>
      <w:r>
        <w:rPr>
          <w:rFonts w:ascii="Helvetica" w:hAnsi="Helvetica" w:cs="Helvetica" w:eastAsia="Helvetica"/>
          <w:b w:val="0"/>
          <w:i w:val="0"/>
          <w:color w:val="222A35"/>
          <w:sz w:val="21"/>
        </w:rPr>
        <w:t xml:space="preserve">First, in </w:t>
      </w:r>
      <w:r>
        <w:rPr>
          <w:rFonts w:ascii="Helvetica" w:hAnsi="Helvetica" w:cs="Helvetica" w:eastAsia="Helvetica"/>
          <w:b w:val="0"/>
          <w:i w:val="0"/>
          <w:color w:val="222A35"/>
          <w:sz w:val="21"/>
        </w:rPr>
        <w:t>offer construction</w:t>
      </w:r>
      <w:r>
        <w:rPr>
          <w:rFonts w:ascii="Helvetica" w:hAnsi="Helvetica" w:cs="Helvetica" w:eastAsia="Helvetica"/>
          <w:b w:val="0"/>
          <w:i w:val="0"/>
          <w:color w:val="222A35"/>
          <w:sz w:val="21"/>
        </w:rPr>
        <w:t>. When Talent Acquisition opens a requisition, the hiring manager selects a canonical title from Section 3. That title carries a level and therefore a compensation band. Offers are constructed inside the band for the assigned level; deviations require CEO or CTO sign-off in the same manner as any base salary change.</w:t>
      </w:r>
    </w:p>
    <w:p>
      <w:pPr>
        <w:spacing w:after="140" w:line="341" w:lineRule="auto" w:before="0"/>
      </w:pPr>
      <w:r>
        <w:rPr>
          <w:rFonts w:ascii="Helvetica" w:hAnsi="Helvetica" w:cs="Helvetica" w:eastAsia="Helvetica"/>
          <w:b w:val="0"/>
          <w:i w:val="0"/>
          <w:color w:val="222A35"/>
          <w:sz w:val="21"/>
        </w:rPr>
        <w:t xml:space="preserve">Second, in the </w:t>
      </w:r>
      <w:r>
        <w:rPr>
          <w:rFonts w:ascii="Helvetica" w:hAnsi="Helvetica" w:cs="Helvetica" w:eastAsia="Helvetica"/>
          <w:b w:val="0"/>
          <w:i w:val="0"/>
          <w:color w:val="222A35"/>
          <w:sz w:val="21"/>
        </w:rPr>
        <w:t>compensation cycle</w:t>
      </w:r>
      <w:r>
        <w:rPr>
          <w:rFonts w:ascii="Helvetica" w:hAnsi="Helvetica" w:cs="Helvetica" w:eastAsia="Helvetica"/>
          <w:b w:val="0"/>
          <w:i w:val="0"/>
          <w:color w:val="222A35"/>
          <w:sz w:val="21"/>
        </w:rPr>
        <w:t>. Compa-ratios are calculated against the midpoint of the employee's current level per the most recent Compensation Bands memo. Level, not job title alone, drives the calculation — a Senior Software Engineer at IC4 is compared to the IC4 midpoint regardless of variations in team, tenure, or project.</w:t>
      </w:r>
    </w:p>
    <w:p>
      <w:pPr>
        <w:spacing w:after="140" w:line="341" w:lineRule="auto" w:before="0"/>
      </w:pPr>
      <w:r>
        <w:rPr>
          <w:rFonts w:ascii="Helvetica" w:hAnsi="Helvetica" w:cs="Helvetica" w:eastAsia="Helvetica"/>
          <w:b w:val="0"/>
          <w:i w:val="0"/>
          <w:color w:val="222A35"/>
          <w:sz w:val="21"/>
        </w:rPr>
        <w:t xml:space="preserve">Third, in </w:t>
      </w:r>
      <w:r>
        <w:rPr>
          <w:rFonts w:ascii="Helvetica" w:hAnsi="Helvetica" w:cs="Helvetica" w:eastAsia="Helvetica"/>
          <w:b w:val="0"/>
          <w:i w:val="0"/>
          <w:color w:val="222A35"/>
          <w:sz w:val="21"/>
        </w:rPr>
        <w:t>promotion and re-leveling</w:t>
      </w:r>
      <w:r>
        <w:rPr>
          <w:rFonts w:ascii="Helvetica" w:hAnsi="Helvetica" w:cs="Helvetica" w:eastAsia="Helvetica"/>
          <w:b w:val="0"/>
          <w:i w:val="0"/>
          <w:color w:val="222A35"/>
          <w:sz w:val="21"/>
        </w:rPr>
        <w:t>. Movement from one level to the next (for example IC2 to IC3, or IC4 to M2) is a promotion in the compensation and career-track sense. Because it changes both title and band, it follows the procedure in Section 5.</w:t>
      </w:r>
    </w:p>
    <w:p>
      <w:pPr>
        <w:spacing w:after="140" w:line="341" w:lineRule="auto" w:before="0"/>
      </w:pPr>
      <w:r>
        <w:rPr>
          <w:rFonts w:ascii="Helvetica" w:hAnsi="Helvetica" w:cs="Helvetica" w:eastAsia="Helvetica"/>
          <w:b w:val="0"/>
          <w:i w:val="0"/>
          <w:color w:val="222A35"/>
          <w:sz w:val="21"/>
        </w:rPr>
        <w:t xml:space="preserve">Fourth, in </w:t>
      </w:r>
      <w:r>
        <w:rPr>
          <w:rFonts w:ascii="Helvetica" w:hAnsi="Helvetica" w:cs="Helvetica" w:eastAsia="Helvetica"/>
          <w:b w:val="0"/>
          <w:i w:val="0"/>
          <w:color w:val="222A35"/>
          <w:sz w:val="21"/>
        </w:rPr>
        <w:t>workforce planning</w:t>
      </w:r>
      <w:r>
        <w:rPr>
          <w:rFonts w:ascii="Helvetica" w:hAnsi="Helvetica" w:cs="Helvetica" w:eastAsia="Helvetica"/>
          <w:b w:val="0"/>
          <w:i w:val="0"/>
          <w:color w:val="222A35"/>
          <w:sz w:val="21"/>
        </w:rPr>
        <w:t>. Headcount plans, hiring plans, and org-chart projections all reference levels rather than free-text titles so that spend and org shape can be compared across quarters. Where a hiring plan lists a title that does not appear in Section 3, that entry is treated as unmapped and must be resolved to a Section 3 title before any requisition is opened against it.</w:t>
      </w:r>
    </w:p>
    <w:p>
      <w:pPr>
        <w:spacing w:after="140" w:line="341" w:lineRule="auto" w:before="0"/>
      </w:pPr>
      <w:r>
        <w:rPr>
          <w:rFonts w:ascii="Helvetica" w:hAnsi="Helvetica" w:cs="Helvetica" w:eastAsia="Helvetica"/>
          <w:b w:val="0"/>
          <w:i w:val="0"/>
          <w:color w:val="222A35"/>
          <w:sz w:val="21"/>
        </w:rPr>
        <w:t>This guide does not set salaries. Salary midpoints and ranges live in the current Compensation Bands memo. This guide does not authorize any pay change. All base salary changes — whether triggered by a promotion, a re-leveling, an equity adjustment, or a market correction — require a signed approval as described in Section 5.</w:t>
      </w:r>
    </w:p>
    <w:p>
      <w:pPr>
        <w:spacing w:before="0" w:after="140" w:line="341" w:lineRule="auto"/>
      </w:pPr>
      <w:r>
        <w:rPr>
          <w:rFonts w:ascii="Helvetica" w:hAnsi="Helvetica" w:cs="Helvetica" w:eastAsia="Helvetica"/>
          <w:b w:val="0"/>
          <w:i w:val="0"/>
          <w:color w:val="222A35"/>
          <w:sz w:val="21"/>
        </w:rPr>
        <w:br w:type="page"/>
      </w:r>
    </w:p>
    <w:p>
      <w:pPr>
        <w:spacing w:before="320" w:after="120" w:line="276" w:lineRule="auto"/>
      </w:pPr>
      <w:r>
        <w:rPr>
          <w:rFonts w:ascii="Helvetica" w:hAnsi="Helvetica" w:cs="Helvetica" w:eastAsia="Helvetica"/>
          <w:b/>
          <w:i w:val="0"/>
          <w:color w:val="1F2A5C"/>
          <w:sz w:val="28"/>
        </w:rPr>
        <w:t>2. Level framework</w:t>
      </w:r>
    </w:p>
    <w:p>
      <w:pPr>
        <w:spacing w:after="140" w:line="341" w:lineRule="auto" w:before="0"/>
      </w:pPr>
      <w:r>
        <w:rPr>
          <w:rFonts w:ascii="Helvetica" w:hAnsi="Helvetica" w:cs="Helvetica" w:eastAsia="Helvetica"/>
          <w:b w:val="0"/>
          <w:i w:val="0"/>
          <w:color w:val="222A35"/>
          <w:sz w:val="21"/>
        </w:rPr>
        <w:t>Troutly recognizes two career tracks: an individual-contributor track (IC1 through IC5) and a people-manager track (M1 through M3). The tracks are peers; an IC4 and an M2 are broadly comparable in scope, seniority, and expected impact. Movement between tracks is a lateral event at equivalent level, not a promotion.</w:t>
      </w:r>
    </w:p>
    <w:p>
      <w:pPr>
        <w:spacing w:after="120" w:line="341" w:lineRule="auto" w:before="80"/>
      </w:pPr>
      <w:r>
        <w:rPr>
          <w:rFonts w:ascii="Helvetica" w:hAnsi="Helvetica" w:cs="Helvetica" w:eastAsia="Helvetica"/>
          <w:b/>
          <w:color w:val="1F2A5C"/>
          <w:sz w:val="21"/>
        </w:rPr>
        <w:t>IC1 — Associate.</w:t>
      </w:r>
      <w:r>
        <w:rPr>
          <w:rFonts w:ascii="Helvetica" w:hAnsi="Helvetica" w:cs="Helvetica" w:eastAsia="Helvetica"/>
          <w:b w:val="0"/>
          <w:color w:val="222A35"/>
          <w:sz w:val="21"/>
        </w:rPr>
        <w:t xml:space="preserve"> Entry-level individual contributor. Executes clearly scoped tasks under close direction from a manager or senior peer. Typical tenure in role: 0 to 18 months. Requires steady coaching; success measured on quality of execution and rate of ramp.</w:t>
      </w:r>
    </w:p>
    <w:p>
      <w:pPr>
        <w:spacing w:after="120" w:line="341" w:lineRule="auto" w:before="80"/>
      </w:pPr>
      <w:r>
        <w:rPr>
          <w:rFonts w:ascii="Helvetica" w:hAnsi="Helvetica" w:cs="Helvetica" w:eastAsia="Helvetica"/>
          <w:b/>
          <w:color w:val="1F2A5C"/>
          <w:sz w:val="21"/>
        </w:rPr>
        <w:t>IC2 — Contributor.</w:t>
      </w:r>
      <w:r>
        <w:rPr>
          <w:rFonts w:ascii="Helvetica" w:hAnsi="Helvetica" w:cs="Helvetica" w:eastAsia="Helvetica"/>
          <w:b w:val="0"/>
          <w:color w:val="222A35"/>
          <w:sz w:val="21"/>
        </w:rPr>
        <w:t xml:space="preserve"> Fully productive individual contributor. Owns end-to-end work on defined problems, escalates ambiguity, and produces work that passes peer review with minor revision. Typical tenure in role: 12 to 30 months. Success measured on consistency and volume of independently delivered work.</w:t>
      </w:r>
    </w:p>
    <w:p>
      <w:pPr>
        <w:spacing w:after="120" w:line="341" w:lineRule="auto" w:before="80"/>
      </w:pPr>
      <w:r>
        <w:rPr>
          <w:rFonts w:ascii="Helvetica" w:hAnsi="Helvetica" w:cs="Helvetica" w:eastAsia="Helvetica"/>
          <w:b/>
          <w:color w:val="1F2A5C"/>
          <w:sz w:val="21"/>
        </w:rPr>
        <w:t>IC3 — Senior Contributor.</w:t>
      </w:r>
      <w:r>
        <w:rPr>
          <w:rFonts w:ascii="Helvetica" w:hAnsi="Helvetica" w:cs="Helvetica" w:eastAsia="Helvetica"/>
          <w:b w:val="0"/>
          <w:color w:val="222A35"/>
          <w:sz w:val="21"/>
        </w:rPr>
        <w:t xml:space="preserve"> Senior individual contributor. Owns complex work with unclear requirements, defines the approach, and coordinates across two or three collaborators when needed. Sets the quality bar for IC1 and IC2 work in their function. Typical tenure in role: 18 to 36 months. Success measured on impact of chosen approach and mentorship of less senior peers.</w:t>
      </w:r>
    </w:p>
    <w:p>
      <w:pPr>
        <w:spacing w:after="120" w:line="341" w:lineRule="auto" w:before="80"/>
      </w:pPr>
      <w:r>
        <w:rPr>
          <w:rFonts w:ascii="Helvetica" w:hAnsi="Helvetica" w:cs="Helvetica" w:eastAsia="Helvetica"/>
          <w:b/>
          <w:color w:val="1F2A5C"/>
          <w:sz w:val="21"/>
        </w:rPr>
        <w:t>IC4 — Staff.</w:t>
      </w:r>
      <w:r>
        <w:rPr>
          <w:rFonts w:ascii="Helvetica" w:hAnsi="Helvetica" w:cs="Helvetica" w:eastAsia="Helvetica"/>
          <w:b w:val="0"/>
          <w:color w:val="222A35"/>
          <w:sz w:val="21"/>
        </w:rPr>
        <w:t xml:space="preserve"> Staff-level individual contributor. Owns problems that span more than one team or product area, sets technical or functional direction, and is expected to influence others without formal authority. Typical tenure in role: 24 to 48 months. Success measured on organization-level outcomes and durable improvements to how the function operates.</w:t>
      </w:r>
    </w:p>
    <w:p>
      <w:pPr>
        <w:spacing w:after="120" w:line="341" w:lineRule="auto" w:before="80"/>
      </w:pPr>
      <w:r>
        <w:rPr>
          <w:rFonts w:ascii="Helvetica" w:hAnsi="Helvetica" w:cs="Helvetica" w:eastAsia="Helvetica"/>
          <w:b/>
          <w:color w:val="1F2A5C"/>
          <w:sz w:val="21"/>
        </w:rPr>
        <w:t>IC5 — Principal.</w:t>
      </w:r>
      <w:r>
        <w:rPr>
          <w:rFonts w:ascii="Helvetica" w:hAnsi="Helvetica" w:cs="Helvetica" w:eastAsia="Helvetica"/>
          <w:b w:val="0"/>
          <w:color w:val="222A35"/>
          <w:sz w:val="21"/>
        </w:rPr>
        <w:t xml:space="preserve"> Principal individual contributor. Sets company-wide technical or functional strategy, is a trusted counterparty for the CEO and CTO on decisions in their domain, and typically leads at least one initiative per year with company-wide impact. No fixed tenure expectation. Success measured on outcomes at the company level.</w:t>
      </w:r>
    </w:p>
    <w:p>
      <w:pPr>
        <w:spacing w:after="120" w:line="341" w:lineRule="auto" w:before="80"/>
      </w:pPr>
      <w:r>
        <w:rPr>
          <w:rFonts w:ascii="Helvetica" w:hAnsi="Helvetica" w:cs="Helvetica" w:eastAsia="Helvetica"/>
          <w:b/>
          <w:color w:val="1F2A5C"/>
          <w:sz w:val="21"/>
        </w:rPr>
        <w:t>M1 — Manager.</w:t>
      </w:r>
      <w:r>
        <w:rPr>
          <w:rFonts w:ascii="Helvetica" w:hAnsi="Helvetica" w:cs="Helvetica" w:eastAsia="Helvetica"/>
          <w:b w:val="0"/>
          <w:color w:val="222A35"/>
          <w:sz w:val="21"/>
        </w:rPr>
        <w:t xml:space="preserve"> First-line people manager. Typically 3 to 6 direct reports, all IC1 through IC3. Owns team-level delivery, performance management, and hiring for their team. Peer-level with IC3.</w:t>
      </w:r>
    </w:p>
    <w:p>
      <w:pPr>
        <w:spacing w:after="120" w:line="341" w:lineRule="auto" w:before="80"/>
      </w:pPr>
      <w:r>
        <w:rPr>
          <w:rFonts w:ascii="Helvetica" w:hAnsi="Helvetica" w:cs="Helvetica" w:eastAsia="Helvetica"/>
          <w:b/>
          <w:color w:val="1F2A5C"/>
          <w:sz w:val="21"/>
        </w:rPr>
        <w:t>M2 — Senior Manager.</w:t>
      </w:r>
      <w:r>
        <w:rPr>
          <w:rFonts w:ascii="Helvetica" w:hAnsi="Helvetica" w:cs="Helvetica" w:eastAsia="Helvetica"/>
          <w:b w:val="0"/>
          <w:color w:val="222A35"/>
          <w:sz w:val="21"/>
        </w:rPr>
        <w:t xml:space="preserve"> Second-line manager or first-line manager of a larger or higher-leverage team. Typically 5 to 10 direct reports, or 3 to 5 reports where at least one is a senior IC (IC3 or IC4). Owns roadmap and staffing for a functional area. Peer-level with IC4.</w:t>
      </w:r>
    </w:p>
    <w:p>
      <w:pPr>
        <w:spacing w:after="120" w:line="341" w:lineRule="auto" w:before="80"/>
      </w:pPr>
      <w:r>
        <w:rPr>
          <w:rFonts w:ascii="Helvetica" w:hAnsi="Helvetica" w:cs="Helvetica" w:eastAsia="Helvetica"/>
          <w:b/>
          <w:color w:val="1F2A5C"/>
          <w:sz w:val="21"/>
        </w:rPr>
        <w:t>M3 — Director / Head of Function.</w:t>
      </w:r>
      <w:r>
        <w:rPr>
          <w:rFonts w:ascii="Helvetica" w:hAnsi="Helvetica" w:cs="Helvetica" w:eastAsia="Helvetica"/>
          <w:b w:val="0"/>
          <w:color w:val="222A35"/>
          <w:sz w:val="21"/>
        </w:rPr>
        <w:t xml:space="preserve"> Head of a department or a peer-level function reporting to the CEO. Owns functional strategy, budget, and cross-functional coordination on behalf of the function. Peer-level with IC5.</w:t>
      </w:r>
    </w:p>
    <w:p>
      <w:pPr>
        <w:spacing w:after="140" w:line="341" w:lineRule="auto" w:before="0"/>
      </w:pPr>
      <w:r>
        <w:rPr>
          <w:rFonts w:ascii="Helvetica" w:hAnsi="Helvetica" w:cs="Helvetica" w:eastAsia="Helvetica"/>
          <w:b w:val="0"/>
          <w:i w:val="0"/>
          <w:color w:val="222A35"/>
          <w:sz w:val="21"/>
        </w:rPr>
        <w:t>There is no M4 or IC0. Level assignments must be made from this list; no other level codes are recognized.</w:t>
      </w:r>
    </w:p>
    <w:p>
      <w:pPr>
        <w:spacing w:before="0" w:after="140" w:line="341" w:lineRule="auto"/>
      </w:pPr>
      <w:r>
        <w:rPr>
          <w:rFonts w:ascii="Helvetica" w:hAnsi="Helvetica" w:cs="Helvetica" w:eastAsia="Helvetica"/>
          <w:b w:val="0"/>
          <w:i w:val="0"/>
          <w:color w:val="222A35"/>
          <w:sz w:val="21"/>
        </w:rPr>
        <w:br w:type="page"/>
      </w:r>
    </w:p>
    <w:p>
      <w:pPr>
        <w:spacing w:before="320" w:after="120" w:line="276" w:lineRule="auto"/>
      </w:pPr>
      <w:r>
        <w:rPr>
          <w:rFonts w:ascii="Helvetica" w:hAnsi="Helvetica" w:cs="Helvetica" w:eastAsia="Helvetica"/>
          <w:b/>
          <w:i w:val="0"/>
          <w:color w:val="1F2A5C"/>
          <w:sz w:val="28"/>
        </w:rPr>
        <w:t>3. Role family mappings</w:t>
      </w:r>
    </w:p>
    <w:p>
      <w:pPr>
        <w:spacing w:after="140" w:line="341" w:lineRule="auto" w:before="0"/>
      </w:pPr>
      <w:r>
        <w:rPr>
          <w:rFonts w:ascii="Helvetica" w:hAnsi="Helvetica" w:cs="Helvetica" w:eastAsia="Helvetica"/>
          <w:b w:val="0"/>
          <w:i w:val="0"/>
          <w:color w:val="222A35"/>
          <w:sz w:val="21"/>
        </w:rPr>
        <w:t>The table below maps every title currently in use in the roster, offer letters, or open requisitions to a role family and a canonical level. Where two titles map to the same level, both are recognized titles for the same level assignment; the canonical title is the one shown in bold in the "Canonical title" column.</w:t>
      </w:r>
    </w:p>
    <w:p>
      <w:pPr>
        <w:spacing w:after="140" w:line="341" w:lineRule="auto" w:before="0"/>
      </w:pPr>
      <w:r>
        <w:rPr>
          <w:rFonts w:ascii="Helvetica" w:hAnsi="Helvetica" w:cs="Helvetica" w:eastAsia="Helvetica"/>
          <w:b w:val="0"/>
          <w:i w:val="0"/>
          <w:color w:val="222A35"/>
          <w:sz w:val="21"/>
        </w:rPr>
        <w:t>Titles not appearing in this table are unrecognized. Requisitions, offers, and HRIS records carrying an unrecognized title must be resolved to a title in this table by the hiring manager and People Operations before the record is treated as clean.</w:t>
      </w:r>
    </w:p>
    <w:p>
      <w:pPr>
        <w:spacing w:before="220" w:after="60" w:line="288" w:lineRule="auto"/>
      </w:pPr>
      <w:r>
        <w:rPr>
          <w:rFonts w:ascii="Helvetica" w:hAnsi="Helvetica" w:cs="Helvetica" w:eastAsia="Helvetica"/>
          <w:b/>
          <w:i w:val="0"/>
          <w:color w:val="0E7C86"/>
          <w:sz w:val="24"/>
        </w:rPr>
        <w:t>3.1 Customer Success family</w:t>
      </w:r>
    </w:p>
    <w:tbl>
      <w:tblPr>
        <w:tblW w:type="auto" w:w="0"/>
        <w:tblLayout w:type="fixed"/>
        <w:tblLook w:firstColumn="1" w:firstRow="1" w:lastColumn="0" w:lastRow="0" w:noHBand="0" w:noVBand="1" w:val="04A0"/>
        <w:jc w:val="left"/>
        <w:tblBorders>
          <w:top w:val="nil" w:sz="0" w:color="auto" w:space="0"/>
          <w:left w:val="nil" w:sz="0" w:color="auto" w:space="0"/>
          <w:bottom w:val="nil" w:sz="0" w:color="auto" w:space="0"/>
          <w:right w:val="nil" w:sz="0" w:color="auto" w:space="0"/>
          <w:insideH w:val="nil" w:sz="0" w:color="auto" w:space="0"/>
          <w:insideV w:val="nil" w:sz="0" w:color="auto" w:space="0"/>
        </w:tblBorders>
      </w:tblPr>
      <w:tblGrid>
        <w:gridCol w:w="2340"/>
        <w:gridCol w:w="2340"/>
        <w:gridCol w:w="2340"/>
        <w:gridCol w:w="2340"/>
      </w:tblGrid>
      <w:tr>
        <w:tc>
          <w:tcPr>
            <w:tcW w:type="dxa" w:w="2880"/>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Roster title</w:t>
            </w:r>
          </w:p>
        </w:tc>
        <w:tc>
          <w:tcPr>
            <w:tcW w:type="dxa" w:w="1872"/>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Family</w:t>
            </w:r>
          </w:p>
        </w:tc>
        <w:tc>
          <w:tcPr>
            <w:tcW w:type="dxa" w:w="1296"/>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Level</w:t>
            </w:r>
          </w:p>
        </w:tc>
        <w:tc>
          <w:tcPr>
            <w:tcW w:type="dxa" w:w="3168"/>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Canonical title</w:t>
            </w:r>
          </w:p>
        </w:tc>
      </w:tr>
      <w:tr>
        <w:tc>
          <w:tcPr>
            <w:tcW w:type="dxa" w:w="2880"/>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Customer Success Manager</w:t>
            </w:r>
          </w:p>
        </w:tc>
        <w:tc>
          <w:tcPr>
            <w:tcW w:type="dxa" w:w="1872"/>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Customer Success</w:t>
            </w:r>
          </w:p>
        </w:tc>
        <w:tc>
          <w:tcPr>
            <w:tcW w:type="dxa" w:w="1296"/>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CSM I</w:t>
            </w:r>
          </w:p>
        </w:tc>
        <w:tc>
          <w:tcPr>
            <w:tcW w:type="dxa" w:w="3168"/>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color w:val="1F2A5C"/>
                <w:sz w:val="19"/>
              </w:rPr>
              <w:t>Customer Success Manager</w:t>
            </w:r>
          </w:p>
        </w:tc>
      </w:tr>
      <w:tr>
        <w:tc>
          <w:tcPr>
            <w:tcW w:type="dxa" w:w="2880"/>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Customer Success Manager II</w:t>
            </w:r>
          </w:p>
        </w:tc>
        <w:tc>
          <w:tcPr>
            <w:tcW w:type="dxa" w:w="1872"/>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Customer Success</w:t>
            </w:r>
          </w:p>
        </w:tc>
        <w:tc>
          <w:tcPr>
            <w:tcW w:type="dxa" w:w="1296"/>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CSM II</w:t>
            </w:r>
          </w:p>
        </w:tc>
        <w:tc>
          <w:tcPr>
            <w:tcW w:type="dxa" w:w="3168"/>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color w:val="1F2A5C"/>
                <w:sz w:val="19"/>
              </w:rPr>
              <w:t>Customer Success Manager II</w:t>
            </w:r>
          </w:p>
        </w:tc>
      </w:tr>
      <w:tr>
        <w:tc>
          <w:tcPr>
            <w:tcW w:type="dxa" w:w="2880"/>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Senior Customer Success Manager</w:t>
            </w:r>
          </w:p>
        </w:tc>
        <w:tc>
          <w:tcPr>
            <w:tcW w:type="dxa" w:w="1872"/>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Customer Success</w:t>
            </w:r>
          </w:p>
        </w:tc>
        <w:tc>
          <w:tcPr>
            <w:tcW w:type="dxa" w:w="1296"/>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CSM II</w:t>
            </w:r>
          </w:p>
        </w:tc>
        <w:tc>
          <w:tcPr>
            <w:tcW w:type="dxa" w:w="3168"/>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color w:val="1F2A5C"/>
                <w:sz w:val="19"/>
              </w:rPr>
              <w:t>Customer Success Manager II</w:t>
            </w:r>
          </w:p>
        </w:tc>
      </w:tr>
      <w:tr>
        <w:tc>
          <w:tcPr>
            <w:tcW w:type="dxa" w:w="2880"/>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Customer Success Lead</w:t>
            </w:r>
          </w:p>
        </w:tc>
        <w:tc>
          <w:tcPr>
            <w:tcW w:type="dxa" w:w="1872"/>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Customer Success</w:t>
            </w:r>
          </w:p>
        </w:tc>
        <w:tc>
          <w:tcPr>
            <w:tcW w:type="dxa" w:w="1296"/>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M2</w:t>
            </w:r>
          </w:p>
        </w:tc>
        <w:tc>
          <w:tcPr>
            <w:tcW w:type="dxa" w:w="3168"/>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color w:val="1F2A5C"/>
                <w:sz w:val="19"/>
              </w:rPr>
              <w:t>Customer Success Lead</w:t>
            </w:r>
          </w:p>
        </w:tc>
      </w:tr>
    </w:tbl>
    <w:p/>
    <w:p>
      <w:pPr>
        <w:spacing w:after="140" w:line="341" w:lineRule="auto" w:before="0"/>
      </w:pPr>
      <w:r>
        <w:rPr>
          <w:rFonts w:ascii="Helvetica" w:hAnsi="Helvetica" w:cs="Helvetica" w:eastAsia="Helvetica"/>
          <w:b w:val="0"/>
          <w:i w:val="0"/>
          <w:color w:val="222A35"/>
          <w:sz w:val="21"/>
        </w:rPr>
        <w:t>Note on "Senior Customer Success Manager": this legacy title is retained only as a synonym for CSM II. New requisitions and new offers must use "Customer Success Manager II" as the posted and offered title. Existing employees carrying the legacy title retain it in their HRIS record until the next promotion cycle, at which point People Operations will re-title in place with no change to level or band.</w:t>
      </w:r>
    </w:p>
    <w:p>
      <w:pPr>
        <w:spacing w:before="220" w:after="60" w:line="288" w:lineRule="auto"/>
      </w:pPr>
      <w:r>
        <w:rPr>
          <w:rFonts w:ascii="Helvetica" w:hAnsi="Helvetica" w:cs="Helvetica" w:eastAsia="Helvetica"/>
          <w:b/>
          <w:i w:val="0"/>
          <w:color w:val="0E7C86"/>
          <w:sz w:val="24"/>
        </w:rPr>
        <w:t>3.2 Engineering family</w:t>
      </w:r>
    </w:p>
    <w:tbl>
      <w:tblPr>
        <w:tblW w:type="auto" w:w="0"/>
        <w:tblLayout w:type="fixed"/>
        <w:tblLook w:firstColumn="1" w:firstRow="1" w:lastColumn="0" w:lastRow="0" w:noHBand="0" w:noVBand="1" w:val="04A0"/>
        <w:jc w:val="left"/>
        <w:tblBorders>
          <w:top w:val="nil" w:sz="0" w:color="auto" w:space="0"/>
          <w:left w:val="nil" w:sz="0" w:color="auto" w:space="0"/>
          <w:bottom w:val="nil" w:sz="0" w:color="auto" w:space="0"/>
          <w:right w:val="nil" w:sz="0" w:color="auto" w:space="0"/>
          <w:insideH w:val="nil" w:sz="0" w:color="auto" w:space="0"/>
          <w:insideV w:val="nil" w:sz="0" w:color="auto" w:space="0"/>
        </w:tblBorders>
      </w:tblPr>
      <w:tblGrid>
        <w:gridCol w:w="2340"/>
        <w:gridCol w:w="2340"/>
        <w:gridCol w:w="2340"/>
        <w:gridCol w:w="2340"/>
      </w:tblGrid>
      <w:tr>
        <w:tc>
          <w:tcPr>
            <w:tcW w:type="dxa" w:w="2880"/>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Roster title</w:t>
            </w:r>
          </w:p>
        </w:tc>
        <w:tc>
          <w:tcPr>
            <w:tcW w:type="dxa" w:w="1872"/>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Family</w:t>
            </w:r>
          </w:p>
        </w:tc>
        <w:tc>
          <w:tcPr>
            <w:tcW w:type="dxa" w:w="1296"/>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Level</w:t>
            </w:r>
          </w:p>
        </w:tc>
        <w:tc>
          <w:tcPr>
            <w:tcW w:type="dxa" w:w="3168"/>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Canonical title</w:t>
            </w:r>
          </w:p>
        </w:tc>
      </w:tr>
      <w:tr>
        <w:tc>
          <w:tcPr>
            <w:tcW w:type="dxa" w:w="2880"/>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Software Engineer I</w:t>
            </w:r>
          </w:p>
        </w:tc>
        <w:tc>
          <w:tcPr>
            <w:tcW w:type="dxa" w:w="1872"/>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Engineering</w:t>
            </w:r>
          </w:p>
        </w:tc>
        <w:tc>
          <w:tcPr>
            <w:tcW w:type="dxa" w:w="1296"/>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IC2</w:t>
            </w:r>
          </w:p>
        </w:tc>
        <w:tc>
          <w:tcPr>
            <w:tcW w:type="dxa" w:w="3168"/>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color w:val="1F2A5C"/>
                <w:sz w:val="19"/>
              </w:rPr>
              <w:t>Software Engineer I</w:t>
            </w:r>
          </w:p>
        </w:tc>
      </w:tr>
      <w:tr>
        <w:tc>
          <w:tcPr>
            <w:tcW w:type="dxa" w:w="2880"/>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Software Engineer II</w:t>
            </w:r>
          </w:p>
        </w:tc>
        <w:tc>
          <w:tcPr>
            <w:tcW w:type="dxa" w:w="1872"/>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Engineering</w:t>
            </w:r>
          </w:p>
        </w:tc>
        <w:tc>
          <w:tcPr>
            <w:tcW w:type="dxa" w:w="1296"/>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IC3</w:t>
            </w:r>
          </w:p>
        </w:tc>
        <w:tc>
          <w:tcPr>
            <w:tcW w:type="dxa" w:w="3168"/>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color w:val="1F2A5C"/>
                <w:sz w:val="19"/>
              </w:rPr>
              <w:t>Software Engineer II</w:t>
            </w:r>
          </w:p>
        </w:tc>
      </w:tr>
      <w:tr>
        <w:tc>
          <w:tcPr>
            <w:tcW w:type="dxa" w:w="2880"/>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Senior Software Engineer</w:t>
            </w:r>
          </w:p>
        </w:tc>
        <w:tc>
          <w:tcPr>
            <w:tcW w:type="dxa" w:w="1872"/>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Engineering</w:t>
            </w:r>
          </w:p>
        </w:tc>
        <w:tc>
          <w:tcPr>
            <w:tcW w:type="dxa" w:w="1296"/>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IC4</w:t>
            </w:r>
          </w:p>
        </w:tc>
        <w:tc>
          <w:tcPr>
            <w:tcW w:type="dxa" w:w="3168"/>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color w:val="1F2A5C"/>
                <w:sz w:val="19"/>
              </w:rPr>
              <w:t>Senior Software Engineer</w:t>
            </w:r>
          </w:p>
        </w:tc>
      </w:tr>
      <w:tr>
        <w:tc>
          <w:tcPr>
            <w:tcW w:type="dxa" w:w="2880"/>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Staff Engineer</w:t>
            </w:r>
          </w:p>
        </w:tc>
        <w:tc>
          <w:tcPr>
            <w:tcW w:type="dxa" w:w="1872"/>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Engineering</w:t>
            </w:r>
          </w:p>
        </w:tc>
        <w:tc>
          <w:tcPr>
            <w:tcW w:type="dxa" w:w="1296"/>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IC5</w:t>
            </w:r>
          </w:p>
        </w:tc>
        <w:tc>
          <w:tcPr>
            <w:tcW w:type="dxa" w:w="3168"/>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color w:val="1F2A5C"/>
                <w:sz w:val="19"/>
              </w:rPr>
              <w:t>Staff Engineer</w:t>
            </w:r>
          </w:p>
        </w:tc>
      </w:tr>
      <w:tr>
        <w:tc>
          <w:tcPr>
            <w:tcW w:type="dxa" w:w="2880"/>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Engineering Manager</w:t>
            </w:r>
          </w:p>
        </w:tc>
        <w:tc>
          <w:tcPr>
            <w:tcW w:type="dxa" w:w="1872"/>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Engineering</w:t>
            </w:r>
          </w:p>
        </w:tc>
        <w:tc>
          <w:tcPr>
            <w:tcW w:type="dxa" w:w="1296"/>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M2</w:t>
            </w:r>
          </w:p>
        </w:tc>
        <w:tc>
          <w:tcPr>
            <w:tcW w:type="dxa" w:w="3168"/>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color w:val="1F2A5C"/>
                <w:sz w:val="19"/>
              </w:rPr>
              <w:t>Engineering Manager</w:t>
            </w:r>
          </w:p>
        </w:tc>
      </w:tr>
    </w:tbl>
    <w:p/>
    <w:p>
      <w:pPr>
        <w:spacing w:before="220" w:after="60" w:line="288" w:lineRule="auto"/>
      </w:pPr>
      <w:r>
        <w:rPr>
          <w:rFonts w:ascii="Helvetica" w:hAnsi="Helvetica" w:cs="Helvetica" w:eastAsia="Helvetica"/>
          <w:b/>
          <w:i w:val="0"/>
          <w:color w:val="0E7C86"/>
          <w:sz w:val="24"/>
        </w:rPr>
        <w:t>3.3 Sales family</w:t>
      </w:r>
    </w:p>
    <w:tbl>
      <w:tblPr>
        <w:tblW w:type="auto" w:w="0"/>
        <w:tblLayout w:type="fixed"/>
        <w:tblLook w:firstColumn="1" w:firstRow="1" w:lastColumn="0" w:lastRow="0" w:noHBand="0" w:noVBand="1" w:val="04A0"/>
        <w:jc w:val="left"/>
        <w:tblBorders>
          <w:top w:val="nil" w:sz="0" w:color="auto" w:space="0"/>
          <w:left w:val="nil" w:sz="0" w:color="auto" w:space="0"/>
          <w:bottom w:val="nil" w:sz="0" w:color="auto" w:space="0"/>
          <w:right w:val="nil" w:sz="0" w:color="auto" w:space="0"/>
          <w:insideH w:val="nil" w:sz="0" w:color="auto" w:space="0"/>
          <w:insideV w:val="nil" w:sz="0" w:color="auto" w:space="0"/>
        </w:tblBorders>
      </w:tblPr>
      <w:tblGrid>
        <w:gridCol w:w="2340"/>
        <w:gridCol w:w="2340"/>
        <w:gridCol w:w="2340"/>
        <w:gridCol w:w="2340"/>
      </w:tblGrid>
      <w:tr>
        <w:tc>
          <w:tcPr>
            <w:tcW w:type="dxa" w:w="2880"/>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Roster title</w:t>
            </w:r>
          </w:p>
        </w:tc>
        <w:tc>
          <w:tcPr>
            <w:tcW w:type="dxa" w:w="1872"/>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Family</w:t>
            </w:r>
          </w:p>
        </w:tc>
        <w:tc>
          <w:tcPr>
            <w:tcW w:type="dxa" w:w="1296"/>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Level</w:t>
            </w:r>
          </w:p>
        </w:tc>
        <w:tc>
          <w:tcPr>
            <w:tcW w:type="dxa" w:w="3168"/>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Canonical title</w:t>
            </w:r>
          </w:p>
        </w:tc>
      </w:tr>
      <w:tr>
        <w:tc>
          <w:tcPr>
            <w:tcW w:type="dxa" w:w="2880"/>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Sales Development Representative</w:t>
            </w:r>
          </w:p>
        </w:tc>
        <w:tc>
          <w:tcPr>
            <w:tcW w:type="dxa" w:w="1872"/>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Sales</w:t>
            </w:r>
          </w:p>
        </w:tc>
        <w:tc>
          <w:tcPr>
            <w:tcW w:type="dxa" w:w="1296"/>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Sales IC1</w:t>
            </w:r>
          </w:p>
        </w:tc>
        <w:tc>
          <w:tcPr>
            <w:tcW w:type="dxa" w:w="3168"/>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color w:val="1F2A5C"/>
                <w:sz w:val="19"/>
              </w:rPr>
              <w:t>Sales Development Representative</w:t>
            </w:r>
          </w:p>
        </w:tc>
      </w:tr>
      <w:tr>
        <w:tc>
          <w:tcPr>
            <w:tcW w:type="dxa" w:w="2880"/>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Account Executive</w:t>
            </w:r>
          </w:p>
        </w:tc>
        <w:tc>
          <w:tcPr>
            <w:tcW w:type="dxa" w:w="1872"/>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Sales</w:t>
            </w:r>
          </w:p>
        </w:tc>
        <w:tc>
          <w:tcPr>
            <w:tcW w:type="dxa" w:w="1296"/>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AE</w:t>
            </w:r>
          </w:p>
        </w:tc>
        <w:tc>
          <w:tcPr>
            <w:tcW w:type="dxa" w:w="3168"/>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color w:val="1F2A5C"/>
                <w:sz w:val="19"/>
              </w:rPr>
              <w:t>Account Executive</w:t>
            </w:r>
          </w:p>
        </w:tc>
      </w:tr>
    </w:tbl>
    <w:p/>
    <w:p>
      <w:pPr>
        <w:spacing w:after="140" w:line="341" w:lineRule="auto" w:before="0"/>
      </w:pPr>
      <w:r>
        <w:rPr>
          <w:rFonts w:ascii="Helvetica" w:hAnsi="Helvetica" w:cs="Helvetica" w:eastAsia="Helvetica"/>
          <w:b w:val="0"/>
          <w:i w:val="0"/>
          <w:color w:val="222A35"/>
          <w:sz w:val="21"/>
        </w:rPr>
        <w:t>Note on the AE level: Account Executive is a single-rung title. Senior AEs who exceed quota over multiple cycles are promoted into M1 (Sales Lead) or into a specialist AE II designation as a promotion event; there is no free-floating "Senior Account Executive" title in this guide.</w:t>
      </w:r>
    </w:p>
    <w:p>
      <w:pPr>
        <w:spacing w:before="220" w:after="60" w:line="288" w:lineRule="auto"/>
      </w:pPr>
      <w:r>
        <w:rPr>
          <w:rFonts w:ascii="Helvetica" w:hAnsi="Helvetica" w:cs="Helvetica" w:eastAsia="Helvetica"/>
          <w:b/>
          <w:i w:val="0"/>
          <w:color w:val="0E7C86"/>
          <w:sz w:val="24"/>
        </w:rPr>
        <w:t>3.4 Marketing family</w:t>
      </w:r>
    </w:p>
    <w:tbl>
      <w:tblPr>
        <w:tblW w:type="auto" w:w="0"/>
        <w:tblLayout w:type="fixed"/>
        <w:tblLook w:firstColumn="1" w:firstRow="1" w:lastColumn="0" w:lastRow="0" w:noHBand="0" w:noVBand="1" w:val="04A0"/>
        <w:jc w:val="left"/>
        <w:tblBorders>
          <w:top w:val="nil" w:sz="0" w:color="auto" w:space="0"/>
          <w:left w:val="nil" w:sz="0" w:color="auto" w:space="0"/>
          <w:bottom w:val="nil" w:sz="0" w:color="auto" w:space="0"/>
          <w:right w:val="nil" w:sz="0" w:color="auto" w:space="0"/>
          <w:insideH w:val="nil" w:sz="0" w:color="auto" w:space="0"/>
          <w:insideV w:val="nil" w:sz="0" w:color="auto" w:space="0"/>
        </w:tblBorders>
      </w:tblPr>
      <w:tblGrid>
        <w:gridCol w:w="2340"/>
        <w:gridCol w:w="2340"/>
        <w:gridCol w:w="2340"/>
        <w:gridCol w:w="2340"/>
      </w:tblGrid>
      <w:tr>
        <w:tc>
          <w:tcPr>
            <w:tcW w:type="dxa" w:w="2880"/>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Roster title</w:t>
            </w:r>
          </w:p>
        </w:tc>
        <w:tc>
          <w:tcPr>
            <w:tcW w:type="dxa" w:w="1872"/>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Family</w:t>
            </w:r>
          </w:p>
        </w:tc>
        <w:tc>
          <w:tcPr>
            <w:tcW w:type="dxa" w:w="1296"/>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Level</w:t>
            </w:r>
          </w:p>
        </w:tc>
        <w:tc>
          <w:tcPr>
            <w:tcW w:type="dxa" w:w="3168"/>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Canonical title</w:t>
            </w:r>
          </w:p>
        </w:tc>
      </w:tr>
      <w:tr>
        <w:tc>
          <w:tcPr>
            <w:tcW w:type="dxa" w:w="2880"/>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Marketing Coordinator</w:t>
            </w:r>
          </w:p>
        </w:tc>
        <w:tc>
          <w:tcPr>
            <w:tcW w:type="dxa" w:w="1872"/>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Marketing</w:t>
            </w:r>
          </w:p>
        </w:tc>
        <w:tc>
          <w:tcPr>
            <w:tcW w:type="dxa" w:w="1296"/>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Marketing IC1</w:t>
            </w:r>
          </w:p>
        </w:tc>
        <w:tc>
          <w:tcPr>
            <w:tcW w:type="dxa" w:w="3168"/>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color w:val="1F2A5C"/>
                <w:sz w:val="19"/>
              </w:rPr>
              <w:t>Marketing Coordinator</w:t>
            </w:r>
          </w:p>
        </w:tc>
      </w:tr>
      <w:tr>
        <w:tc>
          <w:tcPr>
            <w:tcW w:type="dxa" w:w="2880"/>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Marketing Manager</w:t>
            </w:r>
          </w:p>
        </w:tc>
        <w:tc>
          <w:tcPr>
            <w:tcW w:type="dxa" w:w="1872"/>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Marketing</w:t>
            </w:r>
          </w:p>
        </w:tc>
        <w:tc>
          <w:tcPr>
            <w:tcW w:type="dxa" w:w="1296"/>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Marketing IC3</w:t>
            </w:r>
          </w:p>
        </w:tc>
        <w:tc>
          <w:tcPr>
            <w:tcW w:type="dxa" w:w="3168"/>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color w:val="1F2A5C"/>
                <w:sz w:val="19"/>
              </w:rPr>
              <w:t>Marketing Manager</w:t>
            </w:r>
          </w:p>
        </w:tc>
      </w:tr>
    </w:tbl>
    <w:p/>
    <w:p>
      <w:pPr>
        <w:spacing w:after="140" w:line="341" w:lineRule="auto" w:before="0"/>
      </w:pPr>
      <w:r>
        <w:rPr>
          <w:rFonts w:ascii="Helvetica" w:hAnsi="Helvetica" w:cs="Helvetica" w:eastAsia="Helvetica"/>
          <w:b w:val="0"/>
          <w:i w:val="0"/>
          <w:color w:val="222A35"/>
          <w:sz w:val="21"/>
        </w:rPr>
        <w:t>Marketing Manager at Troutly is an individual-contributor role at the IC3 level. It does not carry direct reports at this headcount; the title reflects seniority within the marketing function rather than people-management responsibility. If and when Marketing headcount justifies a first-line manager, People Operations will open an M1 requisition and re-map here.</w:t>
      </w:r>
    </w:p>
    <w:p>
      <w:pPr>
        <w:spacing w:before="220" w:after="60" w:line="288" w:lineRule="auto"/>
      </w:pPr>
      <w:r>
        <w:rPr>
          <w:rFonts w:ascii="Helvetica" w:hAnsi="Helvetica" w:cs="Helvetica" w:eastAsia="Helvetica"/>
          <w:b/>
          <w:i w:val="0"/>
          <w:color w:val="0E7C86"/>
          <w:sz w:val="24"/>
        </w:rPr>
        <w:t>3.5 Product and Design family</w:t>
      </w:r>
    </w:p>
    <w:tbl>
      <w:tblPr>
        <w:tblW w:type="auto" w:w="0"/>
        <w:tblLayout w:type="fixed"/>
        <w:tblLook w:firstColumn="1" w:firstRow="1" w:lastColumn="0" w:lastRow="0" w:noHBand="0" w:noVBand="1" w:val="04A0"/>
        <w:jc w:val="left"/>
        <w:tblBorders>
          <w:top w:val="nil" w:sz="0" w:color="auto" w:space="0"/>
          <w:left w:val="nil" w:sz="0" w:color="auto" w:space="0"/>
          <w:bottom w:val="nil" w:sz="0" w:color="auto" w:space="0"/>
          <w:right w:val="nil" w:sz="0" w:color="auto" w:space="0"/>
          <w:insideH w:val="nil" w:sz="0" w:color="auto" w:space="0"/>
          <w:insideV w:val="nil" w:sz="0" w:color="auto" w:space="0"/>
        </w:tblBorders>
      </w:tblPr>
      <w:tblGrid>
        <w:gridCol w:w="2340"/>
        <w:gridCol w:w="2340"/>
        <w:gridCol w:w="2340"/>
        <w:gridCol w:w="2340"/>
      </w:tblGrid>
      <w:tr>
        <w:tc>
          <w:tcPr>
            <w:tcW w:type="dxa" w:w="2880"/>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Roster title</w:t>
            </w:r>
          </w:p>
        </w:tc>
        <w:tc>
          <w:tcPr>
            <w:tcW w:type="dxa" w:w="1872"/>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Family</w:t>
            </w:r>
          </w:p>
        </w:tc>
        <w:tc>
          <w:tcPr>
            <w:tcW w:type="dxa" w:w="1296"/>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Level</w:t>
            </w:r>
          </w:p>
        </w:tc>
        <w:tc>
          <w:tcPr>
            <w:tcW w:type="dxa" w:w="3168"/>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Canonical title</w:t>
            </w:r>
          </w:p>
        </w:tc>
      </w:tr>
      <w:tr>
        <w:tc>
          <w:tcPr>
            <w:tcW w:type="dxa" w:w="2880"/>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Product Designer</w:t>
            </w:r>
          </w:p>
        </w:tc>
        <w:tc>
          <w:tcPr>
            <w:tcW w:type="dxa" w:w="1872"/>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Product</w:t>
            </w:r>
          </w:p>
        </w:tc>
        <w:tc>
          <w:tcPr>
            <w:tcW w:type="dxa" w:w="1296"/>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Design IC3</w:t>
            </w:r>
          </w:p>
        </w:tc>
        <w:tc>
          <w:tcPr>
            <w:tcW w:type="dxa" w:w="3168"/>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color w:val="1F2A5C"/>
                <w:sz w:val="19"/>
              </w:rPr>
              <w:t>Product Designer</w:t>
            </w:r>
          </w:p>
        </w:tc>
      </w:tr>
    </w:tbl>
    <w:p/>
    <w:p>
      <w:pPr>
        <w:spacing w:before="220" w:after="60" w:line="288" w:lineRule="auto"/>
      </w:pPr>
      <w:r>
        <w:rPr>
          <w:rFonts w:ascii="Helvetica" w:hAnsi="Helvetica" w:cs="Helvetica" w:eastAsia="Helvetica"/>
          <w:b/>
          <w:i w:val="0"/>
          <w:color w:val="0E7C86"/>
          <w:sz w:val="24"/>
        </w:rPr>
        <w:t>3.6 Analytics family</w:t>
      </w:r>
    </w:p>
    <w:tbl>
      <w:tblPr>
        <w:tblW w:type="auto" w:w="0"/>
        <w:tblLayout w:type="fixed"/>
        <w:tblLook w:firstColumn="1" w:firstRow="1" w:lastColumn="0" w:lastRow="0" w:noHBand="0" w:noVBand="1" w:val="04A0"/>
        <w:jc w:val="left"/>
        <w:tblBorders>
          <w:top w:val="nil" w:sz="0" w:color="auto" w:space="0"/>
          <w:left w:val="nil" w:sz="0" w:color="auto" w:space="0"/>
          <w:bottom w:val="nil" w:sz="0" w:color="auto" w:space="0"/>
          <w:right w:val="nil" w:sz="0" w:color="auto" w:space="0"/>
          <w:insideH w:val="nil" w:sz="0" w:color="auto" w:space="0"/>
          <w:insideV w:val="nil" w:sz="0" w:color="auto" w:space="0"/>
        </w:tblBorders>
      </w:tblPr>
      <w:tblGrid>
        <w:gridCol w:w="2340"/>
        <w:gridCol w:w="2340"/>
        <w:gridCol w:w="2340"/>
        <w:gridCol w:w="2340"/>
      </w:tblGrid>
      <w:tr>
        <w:tc>
          <w:tcPr>
            <w:tcW w:type="dxa" w:w="2880"/>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Roster title</w:t>
            </w:r>
          </w:p>
        </w:tc>
        <w:tc>
          <w:tcPr>
            <w:tcW w:type="dxa" w:w="1872"/>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Family</w:t>
            </w:r>
          </w:p>
        </w:tc>
        <w:tc>
          <w:tcPr>
            <w:tcW w:type="dxa" w:w="1296"/>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Level</w:t>
            </w:r>
          </w:p>
        </w:tc>
        <w:tc>
          <w:tcPr>
            <w:tcW w:type="dxa" w:w="3168"/>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Canonical title</w:t>
            </w:r>
          </w:p>
        </w:tc>
      </w:tr>
      <w:tr>
        <w:tc>
          <w:tcPr>
            <w:tcW w:type="dxa" w:w="2880"/>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Data Analyst</w:t>
            </w:r>
          </w:p>
        </w:tc>
        <w:tc>
          <w:tcPr>
            <w:tcW w:type="dxa" w:w="1872"/>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Analytics</w:t>
            </w:r>
          </w:p>
        </w:tc>
        <w:tc>
          <w:tcPr>
            <w:tcW w:type="dxa" w:w="1296"/>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Analytics IC2</w:t>
            </w:r>
          </w:p>
        </w:tc>
        <w:tc>
          <w:tcPr>
            <w:tcW w:type="dxa" w:w="3168"/>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color w:val="1F2A5C"/>
                <w:sz w:val="19"/>
              </w:rPr>
              <w:t>Data Analyst</w:t>
            </w:r>
          </w:p>
        </w:tc>
      </w:tr>
      <w:tr>
        <w:tc>
          <w:tcPr>
            <w:tcW w:type="dxa" w:w="2880"/>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Data Analyst II</w:t>
            </w:r>
          </w:p>
        </w:tc>
        <w:tc>
          <w:tcPr>
            <w:tcW w:type="dxa" w:w="1872"/>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Analytics</w:t>
            </w:r>
          </w:p>
        </w:tc>
        <w:tc>
          <w:tcPr>
            <w:tcW w:type="dxa" w:w="1296"/>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Analytics IC3</w:t>
            </w:r>
          </w:p>
        </w:tc>
        <w:tc>
          <w:tcPr>
            <w:tcW w:type="dxa" w:w="3168"/>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color w:val="1F2A5C"/>
                <w:sz w:val="19"/>
              </w:rPr>
              <w:t>Data Analyst II</w:t>
            </w:r>
          </w:p>
        </w:tc>
      </w:tr>
    </w:tbl>
    <w:p/>
    <w:p>
      <w:pPr>
        <w:spacing w:before="220" w:after="60" w:line="288" w:lineRule="auto"/>
      </w:pPr>
      <w:r>
        <w:rPr>
          <w:rFonts w:ascii="Helvetica" w:hAnsi="Helvetica" w:cs="Helvetica" w:eastAsia="Helvetica"/>
          <w:b/>
          <w:i w:val="0"/>
          <w:color w:val="0E7C86"/>
          <w:sz w:val="24"/>
        </w:rPr>
        <w:t>3.7 Support family</w:t>
      </w:r>
    </w:p>
    <w:tbl>
      <w:tblPr>
        <w:tblW w:type="auto" w:w="0"/>
        <w:tblLayout w:type="fixed"/>
        <w:tblLook w:firstColumn="1" w:firstRow="1" w:lastColumn="0" w:lastRow="0" w:noHBand="0" w:noVBand="1" w:val="04A0"/>
        <w:jc w:val="left"/>
        <w:tblBorders>
          <w:top w:val="nil" w:sz="0" w:color="auto" w:space="0"/>
          <w:left w:val="nil" w:sz="0" w:color="auto" w:space="0"/>
          <w:bottom w:val="nil" w:sz="0" w:color="auto" w:space="0"/>
          <w:right w:val="nil" w:sz="0" w:color="auto" w:space="0"/>
          <w:insideH w:val="nil" w:sz="0" w:color="auto" w:space="0"/>
          <w:insideV w:val="nil" w:sz="0" w:color="auto" w:space="0"/>
        </w:tblBorders>
      </w:tblPr>
      <w:tblGrid>
        <w:gridCol w:w="2340"/>
        <w:gridCol w:w="2340"/>
        <w:gridCol w:w="2340"/>
        <w:gridCol w:w="2340"/>
      </w:tblGrid>
      <w:tr>
        <w:tc>
          <w:tcPr>
            <w:tcW w:type="dxa" w:w="2880"/>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Roster title</w:t>
            </w:r>
          </w:p>
        </w:tc>
        <w:tc>
          <w:tcPr>
            <w:tcW w:type="dxa" w:w="1872"/>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Family</w:t>
            </w:r>
          </w:p>
        </w:tc>
        <w:tc>
          <w:tcPr>
            <w:tcW w:type="dxa" w:w="1296"/>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Level</w:t>
            </w:r>
          </w:p>
        </w:tc>
        <w:tc>
          <w:tcPr>
            <w:tcW w:type="dxa" w:w="3168"/>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Canonical title</w:t>
            </w:r>
          </w:p>
        </w:tc>
      </w:tr>
      <w:tr>
        <w:tc>
          <w:tcPr>
            <w:tcW w:type="dxa" w:w="2880"/>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Support Specialist</w:t>
            </w:r>
          </w:p>
        </w:tc>
        <w:tc>
          <w:tcPr>
            <w:tcW w:type="dxa" w:w="1872"/>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Support</w:t>
            </w:r>
          </w:p>
        </w:tc>
        <w:tc>
          <w:tcPr>
            <w:tcW w:type="dxa" w:w="1296"/>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Support IC1</w:t>
            </w:r>
          </w:p>
        </w:tc>
        <w:tc>
          <w:tcPr>
            <w:tcW w:type="dxa" w:w="3168"/>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color w:val="1F2A5C"/>
                <w:sz w:val="19"/>
              </w:rPr>
              <w:t>Support Specialist</w:t>
            </w:r>
          </w:p>
        </w:tc>
      </w:tr>
    </w:tbl>
    <w:p/>
    <w:p>
      <w:pPr>
        <w:spacing w:after="140" w:line="341" w:lineRule="auto" w:before="0"/>
      </w:pPr>
      <w:r>
        <w:rPr>
          <w:rFonts w:ascii="Helvetica" w:hAnsi="Helvetica" w:cs="Helvetica" w:eastAsia="Helvetica"/>
          <w:b w:val="0"/>
          <w:i w:val="0"/>
          <w:color w:val="222A35"/>
          <w:sz w:val="21"/>
        </w:rPr>
        <w:t>Support Specialists are non-exempt hourly-equivalent salaried employees. They are eligible for the handbook's annual anniversary step increase on each service anniversary, applied in the pay period containing the anniversary date. The step increase is not a promotion event and does not require the Section 5 procedure; it is applied by People Operations against the handbook rate on file and countersigned by the Finance Manager.</w:t>
      </w:r>
    </w:p>
    <w:p>
      <w:pPr>
        <w:spacing w:before="220" w:after="60" w:line="288" w:lineRule="auto"/>
      </w:pPr>
      <w:r>
        <w:rPr>
          <w:rFonts w:ascii="Helvetica" w:hAnsi="Helvetica" w:cs="Helvetica" w:eastAsia="Helvetica"/>
          <w:b/>
          <w:i w:val="0"/>
          <w:color w:val="0E7C86"/>
          <w:sz w:val="24"/>
        </w:rPr>
        <w:t>3.8 Operations family</w:t>
      </w:r>
    </w:p>
    <w:tbl>
      <w:tblPr>
        <w:tblW w:type="auto" w:w="0"/>
        <w:tblLayout w:type="fixed"/>
        <w:tblLook w:firstColumn="1" w:firstRow="1" w:lastColumn="0" w:lastRow="0" w:noHBand="0" w:noVBand="1" w:val="04A0"/>
        <w:jc w:val="left"/>
        <w:tblBorders>
          <w:top w:val="nil" w:sz="0" w:color="auto" w:space="0"/>
          <w:left w:val="nil" w:sz="0" w:color="auto" w:space="0"/>
          <w:bottom w:val="nil" w:sz="0" w:color="auto" w:space="0"/>
          <w:right w:val="nil" w:sz="0" w:color="auto" w:space="0"/>
          <w:insideH w:val="nil" w:sz="0" w:color="auto" w:space="0"/>
          <w:insideV w:val="nil" w:sz="0" w:color="auto" w:space="0"/>
        </w:tblBorders>
      </w:tblPr>
      <w:tblGrid>
        <w:gridCol w:w="2340"/>
        <w:gridCol w:w="2340"/>
        <w:gridCol w:w="2340"/>
        <w:gridCol w:w="2340"/>
      </w:tblGrid>
      <w:tr>
        <w:tc>
          <w:tcPr>
            <w:tcW w:type="dxa" w:w="2880"/>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Roster title</w:t>
            </w:r>
          </w:p>
        </w:tc>
        <w:tc>
          <w:tcPr>
            <w:tcW w:type="dxa" w:w="1872"/>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Family</w:t>
            </w:r>
          </w:p>
        </w:tc>
        <w:tc>
          <w:tcPr>
            <w:tcW w:type="dxa" w:w="1296"/>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Level</w:t>
            </w:r>
          </w:p>
        </w:tc>
        <w:tc>
          <w:tcPr>
            <w:tcW w:type="dxa" w:w="3168"/>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Canonical title</w:t>
            </w:r>
          </w:p>
        </w:tc>
      </w:tr>
      <w:tr>
        <w:tc>
          <w:tcPr>
            <w:tcW w:type="dxa" w:w="2880"/>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Office Manager</w:t>
            </w:r>
          </w:p>
        </w:tc>
        <w:tc>
          <w:tcPr>
            <w:tcW w:type="dxa" w:w="1872"/>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Operations</w:t>
            </w:r>
          </w:p>
        </w:tc>
        <w:tc>
          <w:tcPr>
            <w:tcW w:type="dxa" w:w="1296"/>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Ops IC2</w:t>
            </w:r>
          </w:p>
        </w:tc>
        <w:tc>
          <w:tcPr>
            <w:tcW w:type="dxa" w:w="3168"/>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color w:val="1F2A5C"/>
                <w:sz w:val="19"/>
              </w:rPr>
              <w:t>Office Manager</w:t>
            </w:r>
          </w:p>
        </w:tc>
      </w:tr>
    </w:tbl>
    <w:p/>
    <w:p>
      <w:pPr>
        <w:spacing w:before="220" w:after="60" w:line="288" w:lineRule="auto"/>
      </w:pPr>
      <w:r>
        <w:rPr>
          <w:rFonts w:ascii="Helvetica" w:hAnsi="Helvetica" w:cs="Helvetica" w:eastAsia="Helvetica"/>
          <w:b/>
          <w:i w:val="0"/>
          <w:color w:val="0E7C86"/>
          <w:sz w:val="24"/>
        </w:rPr>
        <w:t>3.9 People and HR family</w:t>
      </w:r>
    </w:p>
    <w:tbl>
      <w:tblPr>
        <w:tblW w:type="auto" w:w="0"/>
        <w:tblLayout w:type="fixed"/>
        <w:tblLook w:firstColumn="1" w:firstRow="1" w:lastColumn="0" w:lastRow="0" w:noHBand="0" w:noVBand="1" w:val="04A0"/>
        <w:jc w:val="left"/>
        <w:tblBorders>
          <w:top w:val="nil" w:sz="0" w:color="auto" w:space="0"/>
          <w:left w:val="nil" w:sz="0" w:color="auto" w:space="0"/>
          <w:bottom w:val="nil" w:sz="0" w:color="auto" w:space="0"/>
          <w:right w:val="nil" w:sz="0" w:color="auto" w:space="0"/>
          <w:insideH w:val="nil" w:sz="0" w:color="auto" w:space="0"/>
          <w:insideV w:val="nil" w:sz="0" w:color="auto" w:space="0"/>
        </w:tblBorders>
      </w:tblPr>
      <w:tblGrid>
        <w:gridCol w:w="2340"/>
        <w:gridCol w:w="2340"/>
        <w:gridCol w:w="2340"/>
        <w:gridCol w:w="2340"/>
      </w:tblGrid>
      <w:tr>
        <w:tc>
          <w:tcPr>
            <w:tcW w:type="dxa" w:w="2880"/>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Roster title</w:t>
            </w:r>
          </w:p>
        </w:tc>
        <w:tc>
          <w:tcPr>
            <w:tcW w:type="dxa" w:w="1872"/>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Family</w:t>
            </w:r>
          </w:p>
        </w:tc>
        <w:tc>
          <w:tcPr>
            <w:tcW w:type="dxa" w:w="1296"/>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Level</w:t>
            </w:r>
          </w:p>
        </w:tc>
        <w:tc>
          <w:tcPr>
            <w:tcW w:type="dxa" w:w="3168"/>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Canonical title</w:t>
            </w:r>
          </w:p>
        </w:tc>
      </w:tr>
      <w:tr>
        <w:tc>
          <w:tcPr>
            <w:tcW w:type="dxa" w:w="2880"/>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People Operations Analyst</w:t>
            </w:r>
          </w:p>
        </w:tc>
        <w:tc>
          <w:tcPr>
            <w:tcW w:type="dxa" w:w="1872"/>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People</w:t>
            </w:r>
          </w:p>
        </w:tc>
        <w:tc>
          <w:tcPr>
            <w:tcW w:type="dxa" w:w="1296"/>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HR IC1</w:t>
            </w:r>
          </w:p>
        </w:tc>
        <w:tc>
          <w:tcPr>
            <w:tcW w:type="dxa" w:w="3168"/>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color w:val="1F2A5C"/>
                <w:sz w:val="19"/>
              </w:rPr>
              <w:t>People Operations Analyst</w:t>
            </w:r>
          </w:p>
        </w:tc>
      </w:tr>
      <w:tr>
        <w:tc>
          <w:tcPr>
            <w:tcW w:type="dxa" w:w="2880"/>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Talent Acquisition Specialist</w:t>
            </w:r>
          </w:p>
        </w:tc>
        <w:tc>
          <w:tcPr>
            <w:tcW w:type="dxa" w:w="1872"/>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People</w:t>
            </w:r>
          </w:p>
        </w:tc>
        <w:tc>
          <w:tcPr>
            <w:tcW w:type="dxa" w:w="1296"/>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HR IC2</w:t>
            </w:r>
          </w:p>
        </w:tc>
        <w:tc>
          <w:tcPr>
            <w:tcW w:type="dxa" w:w="3168"/>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color w:val="1F2A5C"/>
                <w:sz w:val="19"/>
              </w:rPr>
              <w:t>Talent Acquisition Specialist</w:t>
            </w:r>
          </w:p>
        </w:tc>
      </w:tr>
      <w:tr>
        <w:tc>
          <w:tcPr>
            <w:tcW w:type="dxa" w:w="2880"/>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Head of People</w:t>
            </w:r>
          </w:p>
        </w:tc>
        <w:tc>
          <w:tcPr>
            <w:tcW w:type="dxa" w:w="1872"/>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People</w:t>
            </w:r>
          </w:p>
        </w:tc>
        <w:tc>
          <w:tcPr>
            <w:tcW w:type="dxa" w:w="1296"/>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M3</w:t>
            </w:r>
          </w:p>
        </w:tc>
        <w:tc>
          <w:tcPr>
            <w:tcW w:type="dxa" w:w="3168"/>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color w:val="1F2A5C"/>
                <w:sz w:val="19"/>
              </w:rPr>
              <w:t>Head of People</w:t>
            </w:r>
          </w:p>
        </w:tc>
      </w:tr>
    </w:tbl>
    <w:p/>
    <w:p>
      <w:pPr>
        <w:spacing w:before="220" w:after="60" w:line="288" w:lineRule="auto"/>
      </w:pPr>
      <w:r>
        <w:rPr>
          <w:rFonts w:ascii="Helvetica" w:hAnsi="Helvetica" w:cs="Helvetica" w:eastAsia="Helvetica"/>
          <w:b/>
          <w:i w:val="0"/>
          <w:color w:val="0E7C86"/>
          <w:sz w:val="24"/>
        </w:rPr>
        <w:t>3.10 Finance and Corporate family</w:t>
      </w:r>
    </w:p>
    <w:tbl>
      <w:tblPr>
        <w:tblW w:type="auto" w:w="0"/>
        <w:tblLayout w:type="fixed"/>
        <w:tblLook w:firstColumn="1" w:firstRow="1" w:lastColumn="0" w:lastRow="0" w:noHBand="0" w:noVBand="1" w:val="04A0"/>
        <w:jc w:val="left"/>
        <w:tblBorders>
          <w:top w:val="nil" w:sz="0" w:color="auto" w:space="0"/>
          <w:left w:val="nil" w:sz="0" w:color="auto" w:space="0"/>
          <w:bottom w:val="nil" w:sz="0" w:color="auto" w:space="0"/>
          <w:right w:val="nil" w:sz="0" w:color="auto" w:space="0"/>
          <w:insideH w:val="nil" w:sz="0" w:color="auto" w:space="0"/>
          <w:insideV w:val="nil" w:sz="0" w:color="auto" w:space="0"/>
        </w:tblBorders>
      </w:tblPr>
      <w:tblGrid>
        <w:gridCol w:w="2340"/>
        <w:gridCol w:w="2340"/>
        <w:gridCol w:w="2340"/>
        <w:gridCol w:w="2340"/>
      </w:tblGrid>
      <w:tr>
        <w:tc>
          <w:tcPr>
            <w:tcW w:type="dxa" w:w="2880"/>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Roster title</w:t>
            </w:r>
          </w:p>
        </w:tc>
        <w:tc>
          <w:tcPr>
            <w:tcW w:type="dxa" w:w="1872"/>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Family</w:t>
            </w:r>
          </w:p>
        </w:tc>
        <w:tc>
          <w:tcPr>
            <w:tcW w:type="dxa" w:w="1296"/>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Level</w:t>
            </w:r>
          </w:p>
        </w:tc>
        <w:tc>
          <w:tcPr>
            <w:tcW w:type="dxa" w:w="3168"/>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Canonical title</w:t>
            </w:r>
          </w:p>
        </w:tc>
      </w:tr>
      <w:tr>
        <w:tc>
          <w:tcPr>
            <w:tcW w:type="dxa" w:w="2880"/>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Finance Manager</w:t>
            </w:r>
          </w:p>
        </w:tc>
        <w:tc>
          <w:tcPr>
            <w:tcW w:type="dxa" w:w="1872"/>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Finance</w:t>
            </w:r>
          </w:p>
        </w:tc>
        <w:tc>
          <w:tcPr>
            <w:tcW w:type="dxa" w:w="1296"/>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M2</w:t>
            </w:r>
          </w:p>
        </w:tc>
        <w:tc>
          <w:tcPr>
            <w:tcW w:type="dxa" w:w="3168"/>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color w:val="1F2A5C"/>
                <w:sz w:val="19"/>
              </w:rPr>
              <w:t>Finance Manager</w:t>
            </w:r>
          </w:p>
        </w:tc>
      </w:tr>
    </w:tbl>
    <w:p/>
    <w:p>
      <w:pPr>
        <w:spacing w:after="140" w:line="341" w:lineRule="auto" w:before="0"/>
      </w:pPr>
      <w:r>
        <w:rPr>
          <w:rFonts w:ascii="Helvetica" w:hAnsi="Helvetica" w:cs="Helvetica" w:eastAsia="Helvetica"/>
          <w:b w:val="0"/>
          <w:i w:val="0"/>
          <w:color w:val="222A35"/>
          <w:sz w:val="21"/>
        </w:rPr>
        <w:t>The Finance Manager role is an M2 despite carrying a small direct-report team; the level reflects functional ownership of finance and payroll operations for the company. Growth of the function beyond current headcount would trigger a re-leveling review.</w:t>
      </w:r>
    </w:p>
    <w:p>
      <w:pPr>
        <w:spacing w:before="0" w:after="140" w:line="341" w:lineRule="auto"/>
      </w:pPr>
      <w:r>
        <w:rPr>
          <w:rFonts w:ascii="Helvetica" w:hAnsi="Helvetica" w:cs="Helvetica" w:eastAsia="Helvetica"/>
          <w:b w:val="0"/>
          <w:i w:val="0"/>
          <w:color w:val="222A35"/>
          <w:sz w:val="21"/>
        </w:rPr>
        <w:br w:type="page"/>
      </w:r>
    </w:p>
    <w:p>
      <w:pPr>
        <w:spacing w:before="320" w:after="120" w:line="276" w:lineRule="auto"/>
      </w:pPr>
      <w:r>
        <w:rPr>
          <w:rFonts w:ascii="Helvetica" w:hAnsi="Helvetica" w:cs="Helvetica" w:eastAsia="Helvetica"/>
          <w:b/>
          <w:i w:val="0"/>
          <w:color w:val="1F2A5C"/>
          <w:sz w:val="28"/>
        </w:rPr>
        <w:t>4. Title synonyms</w:t>
      </w:r>
    </w:p>
    <w:p>
      <w:pPr>
        <w:spacing w:after="140" w:line="341" w:lineRule="auto" w:before="0"/>
      </w:pPr>
      <w:r>
        <w:rPr>
          <w:rFonts w:ascii="Helvetica" w:hAnsi="Helvetica" w:cs="Helvetica" w:eastAsia="Helvetica"/>
          <w:b w:val="0"/>
          <w:i w:val="0"/>
          <w:color w:val="222A35"/>
          <w:sz w:val="21"/>
        </w:rPr>
        <w:t>The following synonyms exist because prior HRIS conventions (including SplinterHR-era records) used different titles for the same level. All synonyms below resolve to a canonical title in Section 3. When People Operations encounters a synonym in an incoming record, in a manager's email, or on a wiki page, the record is read as the canonical title on the right.</w:t>
      </w:r>
    </w:p>
    <w:tbl>
      <w:tblPr>
        <w:tblW w:type="auto" w:w="0"/>
        <w:tblLayout w:type="fixed"/>
        <w:tblLook w:firstColumn="1" w:firstRow="1" w:lastColumn="0" w:lastRow="0" w:noHBand="0" w:noVBand="1" w:val="04A0"/>
        <w:jc w:val="left"/>
        <w:tblBorders>
          <w:top w:val="nil" w:sz="0" w:color="auto" w:space="0"/>
          <w:left w:val="nil" w:sz="0" w:color="auto" w:space="0"/>
          <w:bottom w:val="nil" w:sz="0" w:color="auto" w:space="0"/>
          <w:right w:val="nil" w:sz="0" w:color="auto" w:space="0"/>
          <w:insideH w:val="nil" w:sz="0" w:color="auto" w:space="0"/>
          <w:insideV w:val="nil" w:sz="0" w:color="auto" w:space="0"/>
        </w:tblBorders>
      </w:tblPr>
      <w:tblGrid>
        <w:gridCol w:w="4680"/>
        <w:gridCol w:w="4680"/>
      </w:tblGrid>
      <w:tr>
        <w:tc>
          <w:tcPr>
            <w:tcW w:type="dxa" w:w="3888"/>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Synonym / legacy title</w:t>
            </w:r>
          </w:p>
        </w:tc>
        <w:tc>
          <w:tcPr>
            <w:tcW w:type="dxa" w:w="5328"/>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Resolves to</w:t>
            </w:r>
          </w:p>
        </w:tc>
      </w:tr>
      <w:tr>
        <w:tc>
          <w:tcPr>
            <w:tcW w:type="dxa" w:w="3888"/>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Senior CSM</w:t>
            </w:r>
          </w:p>
        </w:tc>
        <w:tc>
          <w:tcPr>
            <w:tcW w:type="dxa" w:w="5328"/>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Customer Success Manager II (CSM II)</w:t>
            </w:r>
          </w:p>
        </w:tc>
      </w:tr>
      <w:tr>
        <w:tc>
          <w:tcPr>
            <w:tcW w:type="dxa" w:w="3888"/>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Sr. Customer Success Manager</w:t>
            </w:r>
          </w:p>
        </w:tc>
        <w:tc>
          <w:tcPr>
            <w:tcW w:type="dxa" w:w="5328"/>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Customer Success Manager II (CSM II)</w:t>
            </w:r>
          </w:p>
        </w:tc>
      </w:tr>
      <w:tr>
        <w:tc>
          <w:tcPr>
            <w:tcW w:type="dxa" w:w="3888"/>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t>Staff Software Engineer</w:t>
            </w:r>
            <w:r>
              <w:rPr>
                <w:rFonts w:ascii="Helvetica" w:hAnsi="Helvetica" w:cs="Helvetica" w:eastAsia="Helvetica"/>
                <w:b w:val="0"/>
                <w:color w:val="222A35"/>
                <w:sz w:val="19"/>
              </w:rPr>
            </w:r>
          </w:p>
        </w:tc>
        <w:tc>
          <w:tcPr>
            <w:tcW w:type="dxa" w:w="5328"/>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IC5 (canonical title: Staff Engineer)</w:t>
            </w:r>
          </w:p>
        </w:tc>
      </w:tr>
      <w:tr>
        <w:tc>
          <w:tcPr>
            <w:tcW w:type="dxa" w:w="3888"/>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Lead Engineer</w:t>
            </w:r>
          </w:p>
        </w:tc>
        <w:tc>
          <w:tcPr>
            <w:tcW w:type="dxa" w:w="5328"/>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Senior Software Engineer (IC4)</w:t>
            </w:r>
          </w:p>
        </w:tc>
      </w:tr>
      <w:tr>
        <w:tc>
          <w:tcPr>
            <w:tcW w:type="dxa" w:w="3888"/>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Lead X (any function)</w:t>
            </w:r>
          </w:p>
        </w:tc>
        <w:tc>
          <w:tcPr>
            <w:tcW w:type="dxa" w:w="5328"/>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Senior X (equivalent IC level in that family)</w:t>
            </w:r>
          </w:p>
        </w:tc>
      </w:tr>
      <w:tr>
        <w:tc>
          <w:tcPr>
            <w:tcW w:type="dxa" w:w="3888"/>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Junior Engineer</w:t>
            </w:r>
          </w:p>
        </w:tc>
        <w:tc>
          <w:tcPr>
            <w:tcW w:type="dxa" w:w="5328"/>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Software Engineer I (IC2)</w:t>
            </w:r>
          </w:p>
        </w:tc>
      </w:tr>
      <w:tr>
        <w:tc>
          <w:tcPr>
            <w:tcW w:type="dxa" w:w="3888"/>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Associate Engineer</w:t>
            </w:r>
          </w:p>
        </w:tc>
        <w:tc>
          <w:tcPr>
            <w:tcW w:type="dxa" w:w="5328"/>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Software Engineer I (IC2)</w:t>
            </w:r>
          </w:p>
        </w:tc>
      </w:tr>
      <w:tr>
        <w:tc>
          <w:tcPr>
            <w:tcW w:type="dxa" w:w="3888"/>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Software Developer</w:t>
            </w:r>
          </w:p>
        </w:tc>
        <w:tc>
          <w:tcPr>
            <w:tcW w:type="dxa" w:w="5328"/>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Software Engineer II (IC3)</w:t>
            </w:r>
          </w:p>
        </w:tc>
      </w:tr>
      <w:tr>
        <w:tc>
          <w:tcPr>
            <w:tcW w:type="dxa" w:w="3888"/>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Sales Rep</w:t>
            </w:r>
          </w:p>
        </w:tc>
        <w:tc>
          <w:tcPr>
            <w:tcW w:type="dxa" w:w="5328"/>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Sales Development Representative (Sales IC1)</w:t>
            </w:r>
          </w:p>
        </w:tc>
      </w:tr>
      <w:tr>
        <w:tc>
          <w:tcPr>
            <w:tcW w:type="dxa" w:w="3888"/>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Client Success Manager</w:t>
            </w:r>
          </w:p>
        </w:tc>
        <w:tc>
          <w:tcPr>
            <w:tcW w:type="dxa" w:w="5328"/>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Customer Success Manager (CSM I)</w:t>
            </w:r>
          </w:p>
        </w:tc>
      </w:tr>
      <w:tr>
        <w:tc>
          <w:tcPr>
            <w:tcW w:type="dxa" w:w="3888"/>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CS Rep</w:t>
            </w:r>
          </w:p>
        </w:tc>
        <w:tc>
          <w:tcPr>
            <w:tcW w:type="dxa" w:w="5328"/>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Support Specialist (Support IC1)</w:t>
            </w:r>
          </w:p>
        </w:tc>
      </w:tr>
      <w:tr>
        <w:tc>
          <w:tcPr>
            <w:tcW w:type="dxa" w:w="3888"/>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People Ops Coordinator</w:t>
            </w:r>
          </w:p>
        </w:tc>
        <w:tc>
          <w:tcPr>
            <w:tcW w:type="dxa" w:w="5328"/>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People Operations Analyst (HR IC1)</w:t>
            </w:r>
          </w:p>
        </w:tc>
      </w:tr>
    </w:tbl>
    <w:p/>
    <w:p>
      <w:pPr>
        <w:spacing w:after="140" w:line="341" w:lineRule="auto" w:before="0"/>
      </w:pPr>
      <w:r>
        <w:rPr>
          <w:rFonts w:ascii="Helvetica" w:hAnsi="Helvetica" w:cs="Helvetica" w:eastAsia="Helvetica"/>
          <w:b w:val="0"/>
          <w:i w:val="0"/>
          <w:color w:val="222A35"/>
          <w:sz w:val="21"/>
        </w:rPr>
        <w:t>The general "Lead X → Senior X" rule applies to any function not otherwise listed: legacy "Lead Designer" resolves to "Product Designer" (Design IC3), legacy "Lead Analyst" resolves to "Data Analyst II" (Analytics IC3), and so on. If the resolution is not obvious, People Operations arbitrates and updates this table.</w:t>
      </w:r>
    </w:p>
    <w:p>
      <w:pPr>
        <w:spacing w:after="140" w:line="341" w:lineRule="auto" w:before="0"/>
      </w:pPr>
      <w:r>
        <w:rPr>
          <w:rFonts w:ascii="Helvetica" w:hAnsi="Helvetica" w:cs="Helvetica" w:eastAsia="Helvetica"/>
          <w:b w:val="0"/>
          <w:i w:val="0"/>
          <w:color w:val="222A35"/>
          <w:sz w:val="21"/>
        </w:rPr>
        <w:t>Synonyms are informational only. Every offer letter, requisition, and payroll record must use the canonical title from Section 3 rather than the synonym. Records still carrying legacy titles from the SplinterHR era will be re-titled in place during routine reconciliation with no change to level, band, or compensation.</w:t>
      </w:r>
    </w:p>
    <w:p>
      <w:pPr>
        <w:spacing w:before="0" w:after="140" w:line="341" w:lineRule="auto"/>
      </w:pPr>
      <w:r>
        <w:rPr>
          <w:rFonts w:ascii="Helvetica" w:hAnsi="Helvetica" w:cs="Helvetica" w:eastAsia="Helvetica"/>
          <w:b w:val="0"/>
          <w:i w:val="0"/>
          <w:color w:val="222A35"/>
          <w:sz w:val="21"/>
        </w:rPr>
        <w:br w:type="page"/>
      </w:r>
    </w:p>
    <w:p>
      <w:pPr>
        <w:spacing w:before="320" w:after="120" w:line="276" w:lineRule="auto"/>
      </w:pPr>
      <w:r>
        <w:rPr>
          <w:rFonts w:ascii="Helvetica" w:hAnsi="Helvetica" w:cs="Helvetica" w:eastAsia="Helvetica"/>
          <w:b/>
          <w:i w:val="0"/>
          <w:color w:val="1F2A5C"/>
          <w:sz w:val="28"/>
        </w:rPr>
        <w:t>5. Promotion and re-leveling procedure</w:t>
      </w:r>
    </w:p>
    <w:p>
      <w:pPr>
        <w:spacing w:after="140" w:line="341" w:lineRule="auto" w:before="0"/>
      </w:pPr>
      <w:r>
        <w:rPr>
          <w:rFonts w:ascii="Helvetica" w:hAnsi="Helvetica" w:cs="Helvetica" w:eastAsia="Helvetica"/>
          <w:b w:val="0"/>
          <w:i w:val="0"/>
          <w:color w:val="222A35"/>
          <w:sz w:val="21"/>
        </w:rPr>
        <w:t>A promotion is any change of level. A re-leveling is a corrective change of level for an existing employee without a change in scope or performance (for example, correcting an incorrectly loaded record, or restoring a level that was lost during a migration). Both are treated identically by this procedure.</w:t>
      </w:r>
    </w:p>
    <w:p>
      <w:pPr>
        <w:spacing w:after="140" w:line="341" w:lineRule="auto" w:before="0"/>
      </w:pPr>
      <w:r>
        <w:rPr>
          <w:rFonts w:ascii="Helvetica" w:hAnsi="Helvetica" w:cs="Helvetica" w:eastAsia="Helvetica"/>
          <w:b w:val="0"/>
          <w:i w:val="0"/>
          <w:color w:val="222A35"/>
          <w:sz w:val="21"/>
        </w:rPr>
        <w:t xml:space="preserve">Every promotion and every re-leveling requires a </w:t>
      </w:r>
      <w:r>
        <w:rPr>
          <w:rFonts w:ascii="Helvetica" w:hAnsi="Helvetica" w:cs="Helvetica" w:eastAsia="Helvetica"/>
          <w:b w:val="0"/>
          <w:i w:val="0"/>
          <w:color w:val="222A35"/>
          <w:sz w:val="21"/>
        </w:rPr>
        <w:t>signed approval</w:t>
      </w:r>
      <w:r>
        <w:rPr>
          <w:rFonts w:ascii="Helvetica" w:hAnsi="Helvetica" w:cs="Helvetica" w:eastAsia="Helvetica"/>
          <w:b w:val="0"/>
          <w:i w:val="0"/>
          <w:color w:val="222A35"/>
          <w:sz w:val="21"/>
        </w:rPr>
        <w:t xml:space="preserve">, on the standard Compensation Change Approval form, signed by the employee's direct </w:t>
      </w:r>
      <w:r>
        <w:rPr>
          <w:rFonts w:ascii="Helvetica" w:hAnsi="Helvetica" w:cs="Helvetica" w:eastAsia="Helvetica"/>
          <w:b w:val="0"/>
          <w:i w:val="0"/>
          <w:color w:val="222A35"/>
          <w:sz w:val="21"/>
        </w:rPr>
        <w:t>manager AND CEO or CTO</w:t>
      </w:r>
      <w:r>
        <w:rPr>
          <w:rFonts w:ascii="Helvetica" w:hAnsi="Helvetica" w:cs="Helvetica" w:eastAsia="Helvetica"/>
          <w:b w:val="0"/>
          <w:i w:val="0"/>
          <w:color w:val="222A35"/>
          <w:sz w:val="21"/>
        </w:rPr>
        <w:t>. The manager signature attests to the performance and scope justification. The CEO or CTO signature attests to the compensation impact and budget authority. Either the CEO or the CTO may sign as the second approver, but the approval is not valid without both signatures. Self-approval is prohibited: a manager may not be the sole approver of a change to their own report's compensation, and no employee may approve their own change.</w:t>
      </w:r>
    </w:p>
    <w:p>
      <w:pPr>
        <w:spacing w:after="140" w:line="341" w:lineRule="auto" w:before="0"/>
      </w:pPr>
      <w:r>
        <w:rPr>
          <w:rFonts w:ascii="Helvetica" w:hAnsi="Helvetica" w:cs="Helvetica" w:eastAsia="Helvetica"/>
          <w:b w:val="0"/>
          <w:i w:val="0"/>
          <w:color w:val="222A35"/>
          <w:sz w:val="21"/>
        </w:rPr>
        <w:t>The procedure is:</w:t>
      </w:r>
    </w:p>
    <w:p>
      <w:pPr>
        <w:spacing w:after="120" w:line="341" w:lineRule="auto" w:before="80"/>
        <w:ind w:left="432"/>
      </w:pPr>
      <w:r>
        <w:rPr>
          <w:rFonts w:ascii="Helvetica" w:hAnsi="Helvetica" w:cs="Helvetica" w:eastAsia="Helvetica"/>
          <w:b/>
          <w:color w:val="1F2A5C"/>
          <w:sz w:val="21"/>
        </w:rPr>
        <w:t xml:space="preserve">1. </w:t>
      </w:r>
      <w:r>
        <w:rPr>
          <w:rFonts w:ascii="Helvetica" w:hAnsi="Helvetica" w:cs="Helvetica" w:eastAsia="Helvetica"/>
          <w:b/>
          <w:color w:val="1F2A5C"/>
          <w:sz w:val="21"/>
        </w:rPr>
        <w:t>Manager writes the case.</w:t>
      </w:r>
      <w:r>
        <w:rPr>
          <w:rFonts w:ascii="Helvetica" w:hAnsi="Helvetica" w:cs="Helvetica" w:eastAsia="Helvetica"/>
          <w:b w:val="0"/>
          <w:color w:val="222A35"/>
          <w:sz w:val="21"/>
        </w:rPr>
        <w:t xml:space="preserve"> A one-page memo describing the employee, current level, proposed level, effective date, salary before and after, and the performance or scope basis for the change. For re-levelings, the memo also cites the source document that establishes the correct level (for example a prior signed offer, a signed amendment, or an approved promotion memo that was later lost in system migration).</w:t>
      </w:r>
    </w:p>
    <w:p>
      <w:pPr>
        <w:spacing w:after="120" w:line="341" w:lineRule="auto" w:before="80"/>
        <w:ind w:left="432"/>
      </w:pPr>
      <w:r>
        <w:rPr>
          <w:rFonts w:ascii="Helvetica" w:hAnsi="Helvetica" w:cs="Helvetica" w:eastAsia="Helvetica"/>
          <w:b/>
          <w:color w:val="1F2A5C"/>
          <w:sz w:val="21"/>
        </w:rPr>
        <w:t xml:space="preserve">2. </w:t>
      </w:r>
      <w:r>
        <w:rPr>
          <w:rFonts w:ascii="Helvetica" w:hAnsi="Helvetica" w:cs="Helvetica" w:eastAsia="Helvetica"/>
          <w:b/>
          <w:color w:val="1F2A5C"/>
          <w:sz w:val="21"/>
        </w:rPr>
        <w:t>People Operations reviews for consistency.</w:t>
      </w:r>
      <w:r>
        <w:rPr>
          <w:rFonts w:ascii="Helvetica" w:hAnsi="Helvetica" w:cs="Helvetica" w:eastAsia="Helvetica"/>
          <w:b w:val="0"/>
          <w:color w:val="222A35"/>
          <w:sz w:val="21"/>
        </w:rPr>
        <w:t xml:space="preserve"> People Operations confirms the proposed level exists in Section 2, that the target title exists in Section 3, that the proposed salary falls within the band for that level per the current Compensation Bands memo, and that any deviation from the band is called out in the memo.</w:t>
      </w:r>
    </w:p>
    <w:p>
      <w:pPr>
        <w:spacing w:after="120" w:line="341" w:lineRule="auto" w:before="80"/>
        <w:ind w:left="432"/>
      </w:pPr>
      <w:r>
        <w:rPr>
          <w:rFonts w:ascii="Helvetica" w:hAnsi="Helvetica" w:cs="Helvetica" w:eastAsia="Helvetica"/>
          <w:b/>
          <w:color w:val="1F2A5C"/>
          <w:sz w:val="21"/>
        </w:rPr>
        <w:t xml:space="preserve">3. </w:t>
      </w:r>
      <w:r>
        <w:rPr>
          <w:rFonts w:ascii="Helvetica" w:hAnsi="Helvetica" w:cs="Helvetica" w:eastAsia="Helvetica"/>
          <w:b/>
          <w:color w:val="1F2A5C"/>
          <w:sz w:val="21"/>
        </w:rPr>
        <w:t>Compensation Change Approval form prepared.</w:t>
      </w:r>
      <w:r>
        <w:rPr>
          <w:rFonts w:ascii="Helvetica" w:hAnsi="Helvetica" w:cs="Helvetica" w:eastAsia="Helvetica"/>
          <w:b w:val="0"/>
          <w:color w:val="222A35"/>
          <w:sz w:val="21"/>
        </w:rPr>
        <w:t xml:space="preserve"> People Operations prepares the form with the fields pre-filled from the memo. The form carries the employee ID, current level and salary, proposed level and salary, effective date, and signature blocks for the manager and for the CEO or CTO.</w:t>
      </w:r>
    </w:p>
    <w:p>
      <w:pPr>
        <w:spacing w:after="120" w:line="341" w:lineRule="auto" w:before="80"/>
        <w:ind w:left="432"/>
      </w:pPr>
      <w:r>
        <w:rPr>
          <w:rFonts w:ascii="Helvetica" w:hAnsi="Helvetica" w:cs="Helvetica" w:eastAsia="Helvetica"/>
          <w:b/>
          <w:color w:val="1F2A5C"/>
          <w:sz w:val="21"/>
        </w:rPr>
        <w:t xml:space="preserve">4. </w:t>
      </w:r>
      <w:r>
        <w:rPr>
          <w:rFonts w:ascii="Helvetica" w:hAnsi="Helvetica" w:cs="Helvetica" w:eastAsia="Helvetica"/>
          <w:b/>
          <w:color w:val="1F2A5C"/>
          <w:sz w:val="21"/>
        </w:rPr>
        <w:t>Signatures obtained.</w:t>
      </w:r>
      <w:r>
        <w:rPr>
          <w:rFonts w:ascii="Helvetica" w:hAnsi="Helvetica" w:cs="Helvetica" w:eastAsia="Helvetica"/>
          <w:b w:val="0"/>
          <w:color w:val="222A35"/>
          <w:sz w:val="21"/>
        </w:rPr>
        <w:t xml:space="preserve"> The manager signs first. The CEO or CTO signs second. Neither signature may be delegated. Electronic signatures are acceptable if applied through the company's e-signature service; typed names, initials, or "approved via email" notations are not acceptable substitutes.</w:t>
      </w:r>
    </w:p>
    <w:p>
      <w:pPr>
        <w:spacing w:after="120" w:line="341" w:lineRule="auto" w:before="80"/>
        <w:ind w:left="432"/>
      </w:pPr>
      <w:r>
        <w:rPr>
          <w:rFonts w:ascii="Helvetica" w:hAnsi="Helvetica" w:cs="Helvetica" w:eastAsia="Helvetica"/>
          <w:b/>
          <w:color w:val="1F2A5C"/>
          <w:sz w:val="21"/>
        </w:rPr>
        <w:t xml:space="preserve">5. </w:t>
      </w:r>
      <w:r>
        <w:rPr>
          <w:rFonts w:ascii="Helvetica" w:hAnsi="Helvetica" w:cs="Helvetica" w:eastAsia="Helvetica"/>
          <w:b/>
          <w:color w:val="1F2A5C"/>
          <w:sz w:val="21"/>
        </w:rPr>
        <w:t>People Operations records the change.</w:t>
      </w:r>
      <w:r>
        <w:rPr>
          <w:rFonts w:ascii="Helvetica" w:hAnsi="Helvetica" w:cs="Helvetica" w:eastAsia="Helvetica"/>
          <w:b w:val="0"/>
          <w:color w:val="222A35"/>
          <w:sz w:val="21"/>
        </w:rPr>
        <w:t xml:space="preserve"> Once both signatures are on file, People Operations updates the HRIS record with the new level, title, and salary; the signed form is filed in the employee's personnel folder; and the Finance Manager is notified so the change is reflected in the next regular payroll.</w:t>
      </w:r>
    </w:p>
    <w:p>
      <w:pPr>
        <w:spacing w:after="120" w:line="341" w:lineRule="auto" w:before="80"/>
        <w:ind w:left="432"/>
      </w:pPr>
      <w:r>
        <w:rPr>
          <w:rFonts w:ascii="Helvetica" w:hAnsi="Helvetica" w:cs="Helvetica" w:eastAsia="Helvetica"/>
          <w:b/>
          <w:color w:val="1F2A5C"/>
          <w:sz w:val="21"/>
        </w:rPr>
        <w:t xml:space="preserve">6. </w:t>
      </w:r>
      <w:r>
        <w:rPr>
          <w:rFonts w:ascii="Helvetica" w:hAnsi="Helvetica" w:cs="Helvetica" w:eastAsia="Helvetica"/>
          <w:b/>
          <w:color w:val="1F2A5C"/>
          <w:sz w:val="21"/>
        </w:rPr>
        <w:t>Effective date.</w:t>
      </w:r>
      <w:r>
        <w:rPr>
          <w:rFonts w:ascii="Helvetica" w:hAnsi="Helvetica" w:cs="Helvetica" w:eastAsia="Helvetica"/>
          <w:b w:val="0"/>
          <w:color w:val="222A35"/>
          <w:sz w:val="21"/>
        </w:rPr>
        <w:t xml:space="preserve"> Changes are effective on the date stated in the signed form. Where the effective date falls mid-pay-period, the payroll change is applied on the workday-proration basis specified in the Payroll Procedures memo.</w:t>
      </w:r>
    </w:p>
    <w:p>
      <w:pPr>
        <w:spacing w:after="140" w:line="341" w:lineRule="auto" w:before="0"/>
      </w:pPr>
      <w:r>
        <w:rPr>
          <w:rFonts w:ascii="Helvetica" w:hAnsi="Helvetica" w:cs="Helvetica" w:eastAsia="Helvetica"/>
          <w:b w:val="0"/>
          <w:i w:val="0"/>
          <w:color w:val="222A35"/>
          <w:sz w:val="21"/>
        </w:rPr>
        <w:t>Requests that do not carry both signatures are not compensation changes. HRIS entries made without a signed approval on file — for example a manager or employee editing their own salary field directly — are not authoritative and will be reversed by People Operations at the next reconciliation. Where the signed record and the HRIS record disagree, the signed record governs until the HRIS record is corrected, per the Employee Records section of the handbook.</w:t>
      </w:r>
    </w:p>
    <w:p>
      <w:pPr>
        <w:spacing w:before="0" w:after="140" w:line="341" w:lineRule="auto"/>
      </w:pPr>
      <w:r>
        <w:rPr>
          <w:rFonts w:ascii="Helvetica" w:hAnsi="Helvetica" w:cs="Helvetica" w:eastAsia="Helvetica"/>
          <w:b w:val="0"/>
          <w:i w:val="0"/>
          <w:color w:val="222A35"/>
          <w:sz w:val="21"/>
        </w:rPr>
        <w:br w:type="page"/>
      </w:r>
    </w:p>
    <w:p>
      <w:pPr>
        <w:spacing w:before="320" w:after="120" w:line="276" w:lineRule="auto"/>
      </w:pPr>
      <w:r>
        <w:rPr>
          <w:rFonts w:ascii="Helvetica" w:hAnsi="Helvetica" w:cs="Helvetica" w:eastAsia="Helvetica"/>
          <w:b/>
          <w:i w:val="0"/>
          <w:color w:val="1F2A5C"/>
          <w:sz w:val="28"/>
        </w:rPr>
        <w:t>6. Change log</w:t>
      </w:r>
    </w:p>
    <w:tbl>
      <w:tblPr>
        <w:tblW w:type="auto" w:w="0"/>
        <w:tblLayout w:type="fixed"/>
        <w:tblLook w:firstColumn="1" w:firstRow="1" w:lastColumn="0" w:lastRow="0" w:noHBand="0" w:noVBand="1" w:val="04A0"/>
        <w:jc w:val="left"/>
        <w:tblBorders>
          <w:top w:val="nil" w:sz="0" w:color="auto" w:space="0"/>
          <w:left w:val="nil" w:sz="0" w:color="auto" w:space="0"/>
          <w:bottom w:val="nil" w:sz="0" w:color="auto" w:space="0"/>
          <w:right w:val="nil" w:sz="0" w:color="auto" w:space="0"/>
          <w:insideH w:val="nil" w:sz="0" w:color="auto" w:space="0"/>
          <w:insideV w:val="nil" w:sz="0" w:color="auto" w:space="0"/>
        </w:tblBorders>
      </w:tblPr>
      <w:tblGrid>
        <w:gridCol w:w="3120"/>
        <w:gridCol w:w="3120"/>
        <w:gridCol w:w="3120"/>
      </w:tblGrid>
      <w:tr>
        <w:tc>
          <w:tcPr>
            <w:tcW w:type="dxa" w:w="1296"/>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Date</w:t>
            </w:r>
          </w:p>
        </w:tc>
        <w:tc>
          <w:tcPr>
            <w:tcW w:type="dxa" w:w="1296"/>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Version</w:t>
            </w:r>
          </w:p>
        </w:tc>
        <w:tc>
          <w:tcPr>
            <w:tcW w:type="dxa" w:w="6624"/>
            <w:shd w:val="clear" w:color="auto" w:fill="1F2A5C"/>
            <w:tcBorders>
              <w:top w:val="single" w:sz="8" w:space="0" w:color="1F2A5C"/>
              <w:left w:val="nil"/>
              <w:bottom w:val="single" w:sz="10" w:space="0" w:color="1F2A5C"/>
              <w:right w:val="nil"/>
            </w:tcBorders>
          </w:tcPr>
          <w:p>
            <w:pPr>
              <w:spacing w:before="60" w:after="60" w:line="300" w:lineRule="auto"/>
              <w:rPr>
                <w:color w:val="FFFFFF"/>
              </w:rPr>
            </w:pPr>
            <w:r>
              <w:rPr>
                <w:rFonts w:ascii="Helvetica" w:hAnsi="Helvetica" w:cs="Helvetica" w:eastAsia="Helvetica"/>
                <w:b/>
                <w:color w:val="FFFFFF"/>
                <w:sz w:val="19"/>
              </w:rPr>
            </w:r>
            <w:r>
              <w:rPr>
                <w:rFonts w:ascii="Helvetica" w:hAnsi="Helvetica" w:cs="Helvetica" w:eastAsia="Helvetica"/>
                <w:b/>
                <w:color w:val="FFFFFF"/>
                <w:sz w:val="19"/>
              </w:rPr>
              <w:t>Change</w:t>
            </w:r>
          </w:p>
        </w:tc>
      </w:tr>
      <w:tr>
        <w:tc>
          <w:tcPr>
            <w:tcW w:type="dxa" w:w="1296"/>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03/2025</w:t>
            </w:r>
          </w:p>
        </w:tc>
        <w:tc>
          <w:tcPr>
            <w:tcW w:type="dxa" w:w="1296"/>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v2.0</w:t>
            </w:r>
          </w:p>
        </w:tc>
        <w:tc>
          <w:tcPr>
            <w:tcW w:type="dxa" w:w="6624"/>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Initial issue of v2. Established IC1–IC5 and M1–M3 framework, replacing the prior SplinterHR-era five-title schema. Introduced role family mappings for Customer Success, Engineering, Sales, Marketing, Product, Analytics, Support, Operations, People, and Finance. Codified the two-signature (manager AND CEO or CTO) approval requirement for promotion and re-leveling. Author: People Operations.</w:t>
            </w:r>
          </w:p>
        </w:tc>
      </w:tr>
      <w:tr>
        <w:tc>
          <w:tcPr>
            <w:tcW w:type="dxa" w:w="1296"/>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07/2026</w:t>
            </w:r>
          </w:p>
        </w:tc>
        <w:tc>
          <w:tcPr>
            <w:tcW w:type="dxa" w:w="1296"/>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v2.1</w:t>
            </w:r>
          </w:p>
        </w:tc>
        <w:tc>
          <w:tcPr>
            <w:tcW w:type="dxa" w:w="6624"/>
            <w:shd w:val="clear" w:color="auto" w:fill="EEF1F7"/>
            <w:tcBorders>
              <w:top w:val="nil"/>
              <w:left w:val="nil"/>
              <w:bottom w:val="single" w:sz="4" w:space="0" w:color="C9D2E3"/>
              <w:right w:val="nil"/>
            </w:tcBorders>
          </w:tcPr>
          <w:p>
            <w:pPr>
              <w:spacing w:before="60" w:after="60" w:line="300" w:lineRule="auto"/>
            </w:pPr>
            <w:r>
              <w:rPr>
                <w:rFonts w:ascii="Helvetica" w:hAnsi="Helvetica" w:cs="Helvetica" w:eastAsia="Helvetica"/>
                <w:b w:val="0"/>
                <w:color w:val="222A35"/>
                <w:sz w:val="19"/>
              </w:rPr>
            </w:r>
            <w:r>
              <w:rPr>
                <w:rFonts w:ascii="Helvetica" w:hAnsi="Helvetica" w:cs="Helvetica" w:eastAsia="Helvetica"/>
                <w:b w:val="0"/>
                <w:color w:val="222A35"/>
                <w:sz w:val="19"/>
              </w:rPr>
              <w:t>Added Section 4 title synonyms table to consolidate legacy SplinterHR-era titles under current canonical titles. Restated the "Senior Customer Success Manager → CSM II" mapping following recurring requisition posting confusion. Clarified the anniversary step increase treatment for Support Specialists (not a promotion event; does not require Section 5 signatures). Reviewed and countersigned by Sora Jackson (CTO). Author: People Operations.</w:t>
            </w:r>
          </w:p>
        </w:tc>
      </w:tr>
    </w:tbl>
    <w:p/>
    <w:p>
      <w:pPr>
        <w:spacing w:before="0" w:after="40" w:line="312" w:lineRule="auto"/>
        <w:jc w:val="center"/>
      </w:pPr>
      <w:r>
        <w:rPr>
          <w:rFonts w:ascii="Helvetica" w:hAnsi="Helvetica" w:cs="Helvetica" w:eastAsia="Helvetica"/>
          <w:b w:val="0"/>
          <w:i/>
          <w:color w:val="5B6373"/>
          <w:sz w:val="19"/>
        </w:rPr>
        <w:t>End of Leveling Guide v2.1.</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41" w:lineRule="auto"/>
    </w:pPr>
    <w:rPr>
      <w:rFonts w:ascii="Helvetica" w:hAnsi="Helvetica"/>
      <w:color w:val="222A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16.0300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cp:revision>
  <cp:category/>
  <dc:creator xmlns:dc="http://purl.org/dc/elements/1.1/">Sora Jackson</dc:creator>
  <cp:lastModifiedBy>Sora Jackson</cp:lastModifiedBy>
</cp:coreProperties>
</file>