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  <w:jc w:val="center"/>
        <w:pBdr>
          <w:bottom w:val="single" w:sz="18" w:space="6" w:color="B08A3E"/>
        </w:pBdr>
      </w:pPr>
      <w:r>
        <w:rPr>
          <w:rFonts w:ascii="Georgia" w:hAnsi="Georgia" w:cs="Georgia" w:eastAsia="Georgia"/>
          <w:b/>
          <w:color w:val="1F2A5A"/>
          <w:sz w:val="60"/>
        </w:rPr>
        <w:t>MEMORANDUM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96"/>
        <w:gridCol w:w="8064"/>
      </w:tblGrid>
      <w:tr>
        <w:tc>
          <w:tcPr>
            <w:tcW w:type="dxa" w:w="1584"/>
            <w:tcMar>
              <w:top w:w="70" w:type="dxa"/>
              <w:bottom w:w="70" w:type="dxa"/>
              <w:start w:w="120" w:type="dxa"/>
              <w:end w:w="160" w:type="dxa"/>
              <w:left w:w="120" w:type="dxa"/>
              <w:right w:w="160" w:type="dxa"/>
            </w:tcMar>
            <w:shd w:val="clear" w:color="auto" w:fill="F7F4EC"/>
            <w:tcBorders>
              <w:bottom w:val="single" w:sz="4" w:space="0" w:color="C9D2E0"/>
            </w:tcBorders>
          </w:tcPr>
          <w:p>
            <w:pPr>
              <w:spacing w:after="0" w:before="0" w:line="276" w:lineRule="auto"/>
            </w:pPr>
            <w:r>
              <w:rPr>
                <w:rFonts w:ascii="Georgia" w:hAnsi="Georgia" w:cs="Georgia" w:eastAsia="Georgia"/>
                <w:b/>
                <w:color w:val="876A2F"/>
                <w:sz w:val="21"/>
              </w:rPr>
              <w:t>TO:</w:t>
            </w:r>
          </w:p>
        </w:tc>
        <w:tc>
          <w:tcPr>
            <w:tcW w:type="dxa" w:w="7632"/>
            <w:tcMar>
              <w:top w:w="70" w:type="dxa"/>
              <w:bottom w:w="70" w:type="dxa"/>
              <w:start w:w="120" w:type="dxa"/>
              <w:end w:w="160" w:type="dxa"/>
              <w:left w:w="120" w:type="dxa"/>
              <w:right w:w="160" w:type="dxa"/>
            </w:tcMar>
            <w:tcBorders>
              <w:bottom w:val="single" w:sz="4" w:space="0" w:color="C9D2E0"/>
            </w:tcBorders>
          </w:tcPr>
          <w:p>
            <w:pPr>
              <w:spacing w:after="0" w:before="0" w:line="276" w:lineRule="auto"/>
            </w:pPr>
            <w:r>
              <w:rPr>
                <w:rFonts w:ascii="Helvetica" w:hAnsi="Helvetica" w:cs="Helvetica" w:eastAsia="Helvetica"/>
                <w:b w:val="0"/>
                <w:color w:val="22262B"/>
                <w:sz w:val="21"/>
              </w:rPr>
              <w:t>All Managers</w:t>
            </w:r>
          </w:p>
        </w:tc>
      </w:tr>
      <w:tr>
        <w:tc>
          <w:tcPr>
            <w:tcW w:type="dxa" w:w="1584"/>
            <w:tcMar>
              <w:top w:w="70" w:type="dxa"/>
              <w:bottom w:w="70" w:type="dxa"/>
              <w:start w:w="120" w:type="dxa"/>
              <w:end w:w="160" w:type="dxa"/>
              <w:left w:w="120" w:type="dxa"/>
              <w:right w:w="160" w:type="dxa"/>
            </w:tcMar>
            <w:shd w:val="clear" w:color="auto" w:fill="F7F4EC"/>
            <w:tcBorders>
              <w:bottom w:val="single" w:sz="4" w:space="0" w:color="C9D2E0"/>
            </w:tcBorders>
          </w:tcPr>
          <w:p>
            <w:pPr>
              <w:spacing w:after="0" w:before="0" w:line="276" w:lineRule="auto"/>
            </w:pPr>
            <w:r>
              <w:rPr>
                <w:rFonts w:ascii="Georgia" w:hAnsi="Georgia" w:cs="Georgia" w:eastAsia="Georgia"/>
                <w:b/>
                <w:color w:val="876A2F"/>
                <w:sz w:val="21"/>
              </w:rPr>
              <w:t>FROM:</w:t>
            </w:r>
          </w:p>
        </w:tc>
        <w:tc>
          <w:tcPr>
            <w:tcW w:type="dxa" w:w="7632"/>
            <w:tcMar>
              <w:top w:w="70" w:type="dxa"/>
              <w:bottom w:w="70" w:type="dxa"/>
              <w:start w:w="120" w:type="dxa"/>
              <w:end w:w="160" w:type="dxa"/>
              <w:left w:w="120" w:type="dxa"/>
              <w:right w:w="160" w:type="dxa"/>
            </w:tcMar>
            <w:tcBorders>
              <w:bottom w:val="single" w:sz="4" w:space="0" w:color="C9D2E0"/>
            </w:tcBorders>
          </w:tcPr>
          <w:p>
            <w:pPr>
              <w:spacing w:after="0" w:before="0" w:line="276" w:lineRule="auto"/>
            </w:pPr>
            <w:r>
              <w:rPr>
                <w:rFonts w:ascii="Helvetica" w:hAnsi="Helvetica" w:cs="Helvetica" w:eastAsia="Helvetica"/>
                <w:b w:val="0"/>
                <w:color w:val="22262B"/>
                <w:sz w:val="21"/>
              </w:rPr>
              <w:t>Krystale Jumawan, Finance Manager</w:t>
            </w:r>
          </w:p>
        </w:tc>
      </w:tr>
      <w:tr>
        <w:tc>
          <w:tcPr>
            <w:tcW w:type="dxa" w:w="1584"/>
            <w:tcMar>
              <w:top w:w="70" w:type="dxa"/>
              <w:bottom w:w="70" w:type="dxa"/>
              <w:start w:w="120" w:type="dxa"/>
              <w:end w:w="160" w:type="dxa"/>
              <w:left w:w="120" w:type="dxa"/>
              <w:right w:w="160" w:type="dxa"/>
            </w:tcMar>
            <w:shd w:val="clear" w:color="auto" w:fill="F7F4EC"/>
            <w:tcBorders>
              <w:bottom w:val="single" w:sz="4" w:space="0" w:color="C9D2E0"/>
            </w:tcBorders>
          </w:tcPr>
          <w:p>
            <w:pPr>
              <w:spacing w:after="0" w:before="0" w:line="276" w:lineRule="auto"/>
            </w:pPr>
            <w:r>
              <w:rPr>
                <w:rFonts w:ascii="Georgia" w:hAnsi="Georgia" w:cs="Georgia" w:eastAsia="Georgia"/>
                <w:b/>
                <w:color w:val="876A2F"/>
                <w:sz w:val="21"/>
              </w:rPr>
              <w:t>DATE:</w:t>
            </w:r>
          </w:p>
        </w:tc>
        <w:tc>
          <w:tcPr>
            <w:tcW w:type="dxa" w:w="7632"/>
            <w:tcMar>
              <w:top w:w="70" w:type="dxa"/>
              <w:bottom w:w="70" w:type="dxa"/>
              <w:start w:w="120" w:type="dxa"/>
              <w:end w:w="160" w:type="dxa"/>
              <w:left w:w="120" w:type="dxa"/>
              <w:right w:w="160" w:type="dxa"/>
            </w:tcMar>
            <w:tcBorders>
              <w:bottom w:val="single" w:sz="4" w:space="0" w:color="C9D2E0"/>
            </w:tcBorders>
          </w:tcPr>
          <w:p>
            <w:pPr>
              <w:spacing w:after="0" w:before="0" w:line="276" w:lineRule="auto"/>
            </w:pPr>
            <w:r>
              <w:rPr>
                <w:rFonts w:ascii="Helvetica" w:hAnsi="Helvetica" w:cs="Helvetica" w:eastAsia="Helvetica"/>
                <w:b w:val="0"/>
                <w:color w:val="22262B"/>
                <w:sz w:val="21"/>
              </w:rPr>
              <w:t>06/25/2026</w:t>
            </w:r>
          </w:p>
        </w:tc>
      </w:tr>
      <w:tr>
        <w:tc>
          <w:tcPr>
            <w:tcW w:type="dxa" w:w="1584"/>
            <w:tcMar>
              <w:top w:w="70" w:type="dxa"/>
              <w:bottom w:w="70" w:type="dxa"/>
              <w:start w:w="120" w:type="dxa"/>
              <w:end w:w="160" w:type="dxa"/>
              <w:left w:w="120" w:type="dxa"/>
              <w:right w:w="160" w:type="dxa"/>
            </w:tcMar>
            <w:shd w:val="clear" w:color="auto" w:fill="F7F4EC"/>
            <w:tcBorders>
              <w:bottom w:val="single" w:sz="4" w:space="0" w:color="C9D2E0"/>
            </w:tcBorders>
          </w:tcPr>
          <w:p>
            <w:pPr>
              <w:spacing w:after="0" w:before="0" w:line="276" w:lineRule="auto"/>
            </w:pPr>
            <w:r>
              <w:rPr>
                <w:rFonts w:ascii="Georgia" w:hAnsi="Georgia" w:cs="Georgia" w:eastAsia="Georgia"/>
                <w:b/>
                <w:color w:val="876A2F"/>
                <w:sz w:val="21"/>
              </w:rPr>
              <w:t>RE:</w:t>
            </w:r>
          </w:p>
        </w:tc>
        <w:tc>
          <w:tcPr>
            <w:tcW w:type="dxa" w:w="7632"/>
            <w:tcMar>
              <w:top w:w="70" w:type="dxa"/>
              <w:bottom w:w="70" w:type="dxa"/>
              <w:start w:w="120" w:type="dxa"/>
              <w:end w:w="160" w:type="dxa"/>
              <w:left w:w="120" w:type="dxa"/>
              <w:right w:w="160" w:type="dxa"/>
            </w:tcMar>
            <w:tcBorders>
              <w:bottom w:val="single" w:sz="4" w:space="0" w:color="C9D2E0"/>
            </w:tcBorders>
          </w:tcPr>
          <w:p>
            <w:pPr>
              <w:spacing w:after="0" w:before="0" w:line="276" w:lineRule="auto"/>
            </w:pPr>
            <w:r>
              <w:rPr>
                <w:rFonts w:ascii="Helvetica" w:hAnsi="Helvetica" w:cs="Helvetica" w:eastAsia="Helvetica"/>
                <w:b w:val="0"/>
                <w:color w:val="22262B"/>
                <w:sz w:val="21"/>
              </w:rPr>
              <w:t>Payroll Procedures — Effective 07/01/2026</w:t>
            </w:r>
          </w:p>
        </w:tc>
      </w:tr>
    </w:tbl>
    <w:p>
      <w:pPr>
        <w:spacing w:before="0" w:after="140" w:line="322" w:lineRule="auto"/>
        <w:pBdr>
          <w:bottom w:val="single" w:sz="6" w:space="1" w:color="000000"/>
        </w:pBdr>
      </w:pPr>
    </w:p>
    <w:p>
      <w:pPr>
        <w:keepNext/>
        <w:spacing w:before="320" w:after="120" w:line="264" w:lineRule="auto"/>
        <w:pBdr>
          <w:bottom w:val="single" w:sz="6" w:space="6" w:color="C9D2E0"/>
        </w:pBdr>
      </w:pPr>
      <w:r>
        <w:rPr>
          <w:rFonts w:ascii="Georgia" w:hAnsi="Georgia" w:cs="Georgia" w:eastAsia="Georgia"/>
          <w:b/>
          <w:color w:val="1F2A5A"/>
          <w:sz w:val="29"/>
        </w:rPr>
        <w:t>1. Effective Date and Scope</w:t>
      </w:r>
    </w:p>
    <w:p>
      <w:pPr>
        <w:spacing w:after="140" w:line="322" w:lineRule="auto" w:before="0"/>
      </w:pPr>
      <w:r>
        <w:rPr>
          <w:rFonts w:ascii="Helvetica" w:hAnsi="Helvetica" w:cs="Helvetica" w:eastAsia="Helvetica"/>
          <w:b w:val="0"/>
          <w:color w:val="22262B"/>
          <w:sz w:val="21"/>
        </w:rPr>
        <w:t>Biweekly payroll begins 07/01/2026. Applies to all employees on the Troutly Analytics, Inc. U.S. payroll — salaried and hourly, exempt and non-exempt. Contractors are not in scope; contractor invoicing continues on the existing net-30 cadence.</w:t>
      </w:r>
    </w:p>
    <w:p>
      <w:pPr>
        <w:spacing w:after="140" w:line="322" w:lineRule="auto" w:before="0"/>
      </w:pPr>
      <w:r>
        <w:rPr>
          <w:rFonts w:ascii="Helvetica" w:hAnsi="Helvetica" w:cs="Helvetica" w:eastAsia="Helvetica"/>
          <w:b w:val="0"/>
          <w:color w:val="22262B"/>
          <w:sz w:val="21"/>
        </w:rPr>
        <w:t>Managers are responsible for cascading these procedures to their direct reports before the first biweekly check date and for routing any pay change, off-cycle request, or proration question through Finance before the applicable cutoff.</w:t>
      </w:r>
    </w:p>
    <w:p>
      <w:pPr>
        <w:keepNext/>
        <w:spacing w:before="320" w:after="120" w:line="264" w:lineRule="auto"/>
        <w:pBdr>
          <w:bottom w:val="single" w:sz="6" w:space="6" w:color="C9D2E0"/>
        </w:pBdr>
      </w:pPr>
      <w:r>
        <w:rPr>
          <w:rFonts w:ascii="Georgia" w:hAnsi="Georgia" w:cs="Georgia" w:eastAsia="Georgia"/>
          <w:b/>
          <w:color w:val="1F2A5A"/>
          <w:sz w:val="29"/>
        </w:rPr>
        <w:t>2. Frequency</w:t>
      </w:r>
    </w:p>
    <w:p>
      <w:pPr>
        <w:pStyle w:val="ListBullet"/>
        <w:spacing w:after="60" w:before="0" w:line="300" w:lineRule="auto"/>
        <w:ind w:left="504" w:hanging="259"/>
      </w:pPr>
      <w:r>
        <w:rPr>
          <w:rFonts w:ascii="Helvetica" w:hAnsi="Helvetica" w:cs="Helvetica" w:eastAsia="Helvetica"/>
          <w:b w:val="0"/>
          <w:color w:val="22262B"/>
          <w:sz w:val="21"/>
        </w:rPr>
        <w:t>26 checks per year.</w:t>
      </w:r>
    </w:p>
    <w:p>
      <w:pPr>
        <w:pStyle w:val="ListBullet"/>
        <w:spacing w:after="60" w:before="0" w:line="300" w:lineRule="auto"/>
        <w:ind w:left="504" w:hanging="259"/>
      </w:pPr>
      <w:r>
        <w:rPr>
          <w:rFonts w:ascii="Helvetica" w:hAnsi="Helvetica" w:cs="Helvetica" w:eastAsia="Helvetica"/>
          <w:b w:val="0"/>
          <w:color w:val="22262B"/>
          <w:sz w:val="21"/>
        </w:rPr>
        <w:t>Pay period length: 14 days, Monday through Sunday.</w:t>
      </w:r>
    </w:p>
    <w:p>
      <w:pPr>
        <w:pStyle w:val="ListBullet"/>
        <w:spacing w:after="60" w:before="0" w:line="300" w:lineRule="auto"/>
        <w:ind w:left="504" w:hanging="259"/>
      </w:pPr>
      <w:r>
        <w:rPr>
          <w:rFonts w:ascii="Helvetica" w:hAnsi="Helvetica" w:cs="Helvetica" w:eastAsia="Helvetica"/>
          <w:b w:val="0"/>
          <w:color w:val="22262B"/>
          <w:sz w:val="21"/>
        </w:rPr>
        <w:t>Check date: the second Friday following the close of each period.</w:t>
      </w:r>
    </w:p>
    <w:p>
      <w:pPr>
        <w:pStyle w:val="ListBullet"/>
        <w:spacing w:after="60" w:before="0" w:line="300" w:lineRule="auto"/>
        <w:ind w:left="504" w:hanging="259"/>
      </w:pPr>
      <w:r>
        <w:rPr>
          <w:rFonts w:ascii="Helvetica" w:hAnsi="Helvetica" w:cs="Helvetica" w:eastAsia="Helvetica"/>
          <w:b w:val="0"/>
          <w:color w:val="22262B"/>
          <w:sz w:val="21"/>
        </w:rPr>
        <w:t xml:space="preserve">First biweekly check: </w:t>
      </w:r>
      <w:r>
        <w:rPr>
          <w:rFonts w:ascii="Helvetica" w:hAnsi="Helvetica" w:cs="Helvetica" w:eastAsia="Helvetica"/>
          <w:b/>
          <w:color w:val="22262B"/>
          <w:sz w:val="21"/>
        </w:rPr>
        <w:t>07/10/2026</w:t>
      </w:r>
      <w:r>
        <w:rPr>
          <w:rFonts w:ascii="Helvetica" w:hAnsi="Helvetica" w:cs="Helvetica" w:eastAsia="Helvetica"/>
          <w:b w:val="0"/>
          <w:color w:val="22262B"/>
          <w:sz w:val="21"/>
        </w:rPr>
        <w:t xml:space="preserve">, covering the period </w:t>
      </w:r>
      <w:r>
        <w:rPr>
          <w:rFonts w:ascii="Helvetica" w:hAnsi="Helvetica" w:cs="Helvetica" w:eastAsia="Helvetica"/>
          <w:b/>
          <w:color w:val="22262B"/>
          <w:sz w:val="21"/>
        </w:rPr>
        <w:t>06/22/2026 – 07/05/2026</w:t>
      </w:r>
      <w:r>
        <w:rPr>
          <w:rFonts w:ascii="Helvetica" w:hAnsi="Helvetica" w:cs="Helvetica" w:eastAsia="Helvetica"/>
          <w:b w:val="0"/>
          <w:color w:val="22262B"/>
          <w:sz w:val="21"/>
        </w:rPr>
        <w:t>.</w:t>
      </w:r>
    </w:p>
    <w:p>
      <w:pPr>
        <w:pStyle w:val="ListBullet"/>
        <w:spacing w:after="60" w:before="0" w:line="300" w:lineRule="auto"/>
        <w:ind w:left="504" w:hanging="259"/>
      </w:pPr>
      <w:r>
        <w:rPr>
          <w:rFonts w:ascii="Helvetica" w:hAnsi="Helvetica" w:cs="Helvetica" w:eastAsia="Helvetica"/>
          <w:b w:val="0"/>
          <w:color w:val="22262B"/>
          <w:sz w:val="21"/>
        </w:rPr>
        <w:t xml:space="preserve">Second check: </w:t>
      </w:r>
      <w:r>
        <w:rPr>
          <w:rFonts w:ascii="Helvetica" w:hAnsi="Helvetica" w:cs="Helvetica" w:eastAsia="Helvetica"/>
          <w:b/>
          <w:color w:val="22262B"/>
          <w:sz w:val="21"/>
        </w:rPr>
        <w:t>07/24/2026</w:t>
      </w:r>
      <w:r>
        <w:rPr>
          <w:rFonts w:ascii="Helvetica" w:hAnsi="Helvetica" w:cs="Helvetica" w:eastAsia="Helvetica"/>
          <w:b w:val="0"/>
          <w:color w:val="22262B"/>
          <w:sz w:val="21"/>
        </w:rPr>
        <w:t xml:space="preserve">, covering </w:t>
      </w:r>
      <w:r>
        <w:rPr>
          <w:rFonts w:ascii="Helvetica" w:hAnsi="Helvetica" w:cs="Helvetica" w:eastAsia="Helvetica"/>
          <w:b/>
          <w:color w:val="22262B"/>
          <w:sz w:val="21"/>
        </w:rPr>
        <w:t>07/06/2026 – 07/19/2026</w:t>
      </w:r>
      <w:r>
        <w:rPr>
          <w:rFonts w:ascii="Helvetica" w:hAnsi="Helvetica" w:cs="Helvetica" w:eastAsia="Helvetica"/>
          <w:b w:val="0"/>
          <w:color w:val="22262B"/>
          <w:sz w:val="21"/>
        </w:rPr>
        <w:t>.</w:t>
      </w:r>
    </w:p>
    <w:p>
      <w:pPr>
        <w:pStyle w:val="ListBullet"/>
        <w:spacing w:after="60" w:before="0" w:line="300" w:lineRule="auto"/>
        <w:ind w:left="504" w:hanging="259"/>
      </w:pPr>
      <w:r>
        <w:rPr>
          <w:rFonts w:ascii="Helvetica" w:hAnsi="Helvetica" w:cs="Helvetica" w:eastAsia="Helvetica"/>
          <w:b w:val="0"/>
          <w:color w:val="22262B"/>
          <w:sz w:val="21"/>
        </w:rPr>
        <w:t xml:space="preserve">Third check: </w:t>
      </w:r>
      <w:r>
        <w:rPr>
          <w:rFonts w:ascii="Helvetica" w:hAnsi="Helvetica" w:cs="Helvetica" w:eastAsia="Helvetica"/>
          <w:b/>
          <w:color w:val="22262B"/>
          <w:sz w:val="21"/>
        </w:rPr>
        <w:t>08/07/2026</w:t>
      </w:r>
      <w:r>
        <w:rPr>
          <w:rFonts w:ascii="Helvetica" w:hAnsi="Helvetica" w:cs="Helvetica" w:eastAsia="Helvetica"/>
          <w:b w:val="0"/>
          <w:color w:val="22262B"/>
          <w:sz w:val="21"/>
        </w:rPr>
        <w:t xml:space="preserve">, covering </w:t>
      </w:r>
      <w:r>
        <w:rPr>
          <w:rFonts w:ascii="Helvetica" w:hAnsi="Helvetica" w:cs="Helvetica" w:eastAsia="Helvetica"/>
          <w:b/>
          <w:color w:val="22262B"/>
          <w:sz w:val="21"/>
        </w:rPr>
        <w:t>07/20/2026 – 08/02/2026</w:t>
      </w:r>
      <w:r>
        <w:rPr>
          <w:rFonts w:ascii="Helvetica" w:hAnsi="Helvetica" w:cs="Helvetica" w:eastAsia="Helvetica"/>
          <w:b w:val="0"/>
          <w:color w:val="22262B"/>
          <w:sz w:val="21"/>
        </w:rPr>
        <w:t>.</w:t>
      </w:r>
    </w:p>
    <w:p>
      <w:pPr>
        <w:pStyle w:val="ListBullet"/>
        <w:spacing w:after="60" w:before="0" w:line="300" w:lineRule="auto"/>
        <w:ind w:left="504" w:hanging="259"/>
      </w:pPr>
      <w:r>
        <w:rPr>
          <w:rFonts w:ascii="Helvetica" w:hAnsi="Helvetica" w:cs="Helvetica" w:eastAsia="Helvetica"/>
          <w:b w:val="0"/>
          <w:color w:val="22262B"/>
          <w:sz w:val="21"/>
        </w:rPr>
        <w:t xml:space="preserve">Fourth check: </w:t>
      </w:r>
      <w:r>
        <w:rPr>
          <w:rFonts w:ascii="Helvetica" w:hAnsi="Helvetica" w:cs="Helvetica" w:eastAsia="Helvetica"/>
          <w:b/>
          <w:color w:val="22262B"/>
          <w:sz w:val="21"/>
        </w:rPr>
        <w:t>08/21/2026</w:t>
      </w:r>
      <w:r>
        <w:rPr>
          <w:rFonts w:ascii="Helvetica" w:hAnsi="Helvetica" w:cs="Helvetica" w:eastAsia="Helvetica"/>
          <w:b w:val="0"/>
          <w:color w:val="22262B"/>
          <w:sz w:val="21"/>
        </w:rPr>
        <w:t xml:space="preserve">, covering </w:t>
      </w:r>
      <w:r>
        <w:rPr>
          <w:rFonts w:ascii="Helvetica" w:hAnsi="Helvetica" w:cs="Helvetica" w:eastAsia="Helvetica"/>
          <w:b/>
          <w:color w:val="22262B"/>
          <w:sz w:val="21"/>
        </w:rPr>
        <w:t>08/03/2026 – 08/16/2026</w:t>
      </w:r>
      <w:r>
        <w:rPr>
          <w:rFonts w:ascii="Helvetica" w:hAnsi="Helvetica" w:cs="Helvetica" w:eastAsia="Helvetica"/>
          <w:b w:val="0"/>
          <w:color w:val="22262B"/>
          <w:sz w:val="21"/>
        </w:rPr>
        <w:t>.</w:t>
      </w:r>
    </w:p>
    <w:p>
      <w:pPr>
        <w:pStyle w:val="ListBullet"/>
        <w:spacing w:after="60" w:before="0" w:line="300" w:lineRule="auto"/>
        <w:ind w:left="504" w:hanging="259"/>
      </w:pPr>
      <w:r>
        <w:rPr>
          <w:rFonts w:ascii="Helvetica" w:hAnsi="Helvetica" w:cs="Helvetica" w:eastAsia="Helvetica"/>
          <w:b w:val="0"/>
          <w:color w:val="22262B"/>
          <w:sz w:val="21"/>
        </w:rPr>
        <w:t xml:space="preserve">Fifth check: </w:t>
      </w:r>
      <w:r>
        <w:rPr>
          <w:rFonts w:ascii="Helvetica" w:hAnsi="Helvetica" w:cs="Helvetica" w:eastAsia="Helvetica"/>
          <w:b/>
          <w:color w:val="22262B"/>
          <w:sz w:val="21"/>
        </w:rPr>
        <w:t>09/04/2026</w:t>
      </w:r>
      <w:r>
        <w:rPr>
          <w:rFonts w:ascii="Helvetica" w:hAnsi="Helvetica" w:cs="Helvetica" w:eastAsia="Helvetica"/>
          <w:b w:val="0"/>
          <w:color w:val="22262B"/>
          <w:sz w:val="21"/>
        </w:rPr>
        <w:t xml:space="preserve">, covering </w:t>
      </w:r>
      <w:r>
        <w:rPr>
          <w:rFonts w:ascii="Helvetica" w:hAnsi="Helvetica" w:cs="Helvetica" w:eastAsia="Helvetica"/>
          <w:b/>
          <w:color w:val="22262B"/>
          <w:sz w:val="21"/>
        </w:rPr>
        <w:t>08/17/2026 – 08/30/2026</w:t>
      </w:r>
      <w:r>
        <w:rPr>
          <w:rFonts w:ascii="Helvetica" w:hAnsi="Helvetica" w:cs="Helvetica" w:eastAsia="Helvetica"/>
          <w:b w:val="0"/>
          <w:color w:val="22262B"/>
          <w:sz w:val="21"/>
        </w:rPr>
        <w:t>.</w:t>
      </w:r>
    </w:p>
    <w:p>
      <w:pPr>
        <w:spacing w:after="140" w:line="322" w:lineRule="auto" w:before="0"/>
      </w:pPr>
      <w:r>
        <w:rPr>
          <w:rFonts w:ascii="Helvetica" w:hAnsi="Helvetica" w:cs="Helvetica" w:eastAsia="Helvetica"/>
          <w:b w:val="0"/>
          <w:color w:val="22262B"/>
          <w:sz w:val="21"/>
        </w:rPr>
        <w:t>The full FY2026 calendar is in Section 8.</w:t>
      </w:r>
    </w:p>
    <w:p>
      <w:pPr>
        <w:keepNext/>
        <w:spacing w:before="320" w:after="120" w:line="264" w:lineRule="auto"/>
        <w:pBdr>
          <w:bottom w:val="single" w:sz="6" w:space="6" w:color="C9D2E0"/>
        </w:pBdr>
      </w:pPr>
      <w:r>
        <w:rPr>
          <w:rFonts w:ascii="Georgia" w:hAnsi="Georgia" w:cs="Georgia" w:eastAsia="Georgia"/>
          <w:b/>
          <w:color w:val="1F2A5A"/>
          <w:sz w:val="29"/>
        </w:rPr>
        <w:t>3. Per-Period Pay</w:t>
      </w:r>
    </w:p>
    <w:p>
      <w:pPr>
        <w:spacing w:after="140" w:line="322" w:lineRule="auto" w:before="0"/>
      </w:pPr>
      <w:r>
        <w:rPr>
          <w:rFonts w:ascii="Helvetica" w:hAnsi="Helvetica" w:cs="Helvetica" w:eastAsia="Helvetica"/>
          <w:b w:val="0"/>
          <w:color w:val="22262B"/>
          <w:sz w:val="21"/>
        </w:rPr>
        <w:t>Salaried pay per period = annual salary / 26.</w:t>
      </w:r>
    </w:p>
    <w:p>
      <w:pPr>
        <w:spacing w:after="140" w:line="322" w:lineRule="auto" w:before="0"/>
      </w:pPr>
      <w:r>
        <w:rPr>
          <w:rFonts w:ascii="Helvetica" w:hAnsi="Helvetica" w:cs="Helvetica" w:eastAsia="Helvetica"/>
          <w:b w:val="0"/>
          <w:color w:val="22262B"/>
          <w:sz w:val="21"/>
        </w:rPr>
        <w:t>Example: an annual salary of $78,000.00 becomes $3,000.00 per period ($78,000.00 / 26 = $3,000.00, rounded to the cent).</w:t>
      </w:r>
    </w:p>
    <w:p>
      <w:pPr>
        <w:spacing w:after="140" w:line="322" w:lineRule="auto" w:before="0"/>
      </w:pPr>
      <w:r>
        <w:rPr>
          <w:rFonts w:ascii="Helvetica" w:hAnsi="Helvetica" w:cs="Helvetica" w:eastAsia="Helvetica"/>
          <w:b w:val="0"/>
          <w:color w:val="22262B"/>
          <w:sz w:val="21"/>
        </w:rPr>
        <w:t>Hourly pay per period = hours worked × hourly rate, computed from timesheets approved by the manager of record no later than 12:00 noon Central on the Monday following period close.</w:t>
      </w:r>
    </w:p>
    <w:p>
      <w:pPr>
        <w:spacing w:after="140" w:line="322" w:lineRule="auto" w:before="0"/>
      </w:pPr>
      <w:r>
        <w:rPr>
          <w:rFonts w:ascii="Helvetica" w:hAnsi="Helvetica" w:cs="Helvetica" w:eastAsia="Helvetica"/>
          <w:b w:val="0"/>
          <w:color w:val="22262B"/>
          <w:sz w:val="21"/>
        </w:rPr>
        <w:t>Rounding: all per-period gross figures rounded to the cent (half-up). Year-to-date reconciliation is performed against the sum of rounded periods, not against the annual salary divided directly.</w:t>
      </w:r>
    </w:p>
    <w:p>
      <w:pPr>
        <w:keepNext/>
        <w:spacing w:before="320" w:after="120" w:line="264" w:lineRule="auto"/>
        <w:pBdr>
          <w:bottom w:val="single" w:sz="6" w:space="6" w:color="C9D2E0"/>
        </w:pBdr>
      </w:pPr>
      <w:r>
        <w:rPr>
          <w:rFonts w:ascii="Georgia" w:hAnsi="Georgia" w:cs="Georgia" w:eastAsia="Georgia"/>
          <w:b/>
          <w:color w:val="1F2A5A"/>
          <w:sz w:val="29"/>
        </w:rPr>
        <w:t>4. Proration</w:t>
      </w:r>
    </w:p>
    <w:p>
      <w:pPr>
        <w:spacing w:after="140" w:line="322" w:lineRule="auto" w:before="0"/>
      </w:pPr>
      <w:r>
        <w:rPr>
          <w:rFonts w:ascii="Helvetica" w:hAnsi="Helvetica" w:cs="Helvetica" w:eastAsia="Helvetica"/>
          <w:b w:val="0"/>
          <w:color w:val="22262B"/>
          <w:sz w:val="21"/>
        </w:rPr>
        <w:t xml:space="preserve">A mid-period start or a mid-period separation is prorated by </w:t>
      </w:r>
      <w:r>
        <w:rPr>
          <w:rFonts w:ascii="Helvetica" w:hAnsi="Helvetica" w:cs="Helvetica" w:eastAsia="Helvetica"/>
          <w:b/>
          <w:color w:val="22262B"/>
          <w:sz w:val="21"/>
        </w:rPr>
        <w:t>workdays</w:t>
      </w:r>
      <w:r>
        <w:rPr>
          <w:rFonts w:ascii="Helvetica" w:hAnsi="Helvetica" w:cs="Helvetica" w:eastAsia="Helvetica"/>
          <w:b w:val="0"/>
          <w:color w:val="22262B"/>
          <w:sz w:val="21"/>
        </w:rPr>
        <w:t xml:space="preserve"> in the period — Monday through Friday only — </w:t>
      </w:r>
      <w:r>
        <w:rPr>
          <w:rFonts w:ascii="Helvetica" w:hAnsi="Helvetica" w:cs="Helvetica" w:eastAsia="Helvetica"/>
          <w:b/>
          <w:color w:val="22262B"/>
          <w:sz w:val="21"/>
        </w:rPr>
        <w:t>not calendar days</w:t>
      </w:r>
      <w:r>
        <w:rPr>
          <w:rFonts w:ascii="Helvetica" w:hAnsi="Helvetica" w:cs="Helvetica" w:eastAsia="Helvetica"/>
          <w:b w:val="0"/>
          <w:color w:val="22262B"/>
          <w:sz w:val="21"/>
        </w:rPr>
        <w:t>. Weekends and company-observed holidays are excluded from the denominator and the numerator.</w:t>
      </w:r>
    </w:p>
    <w:p>
      <w:pPr>
        <w:spacing w:after="140" w:line="322" w:lineRule="auto" w:before="0"/>
      </w:pPr>
      <w:r>
        <w:rPr>
          <w:rFonts w:ascii="Helvetica" w:hAnsi="Helvetica" w:cs="Helvetica" w:eastAsia="Helvetica"/>
          <w:b w:val="0"/>
          <w:color w:val="22262B"/>
          <w:sz w:val="21"/>
        </w:rPr>
        <w:t>Formula: prorated gross = (annual salary / 26) × (workdays paid in period / workdays in period).</w:t>
      </w:r>
    </w:p>
    <w:p>
      <w:pPr>
        <w:spacing w:after="140" w:line="322" w:lineRule="auto" w:before="0"/>
      </w:pPr>
      <w:r>
        <w:rPr>
          <w:rFonts w:ascii="Helvetica" w:hAnsi="Helvetica" w:cs="Helvetica" w:eastAsia="Helvetica"/>
          <w:b w:val="0"/>
          <w:color w:val="22262B"/>
          <w:sz w:val="21"/>
        </w:rPr>
        <w:t>Workdays in a standard 14-day biweekly period = 10. A start on a Wednesday in a period whose Monday and Tuesday have already elapsed is paid 8/10 of the per-period gross. A separation on a Thursday with the following Friday not worked is paid 4/10 for that week and full for the prior week.</w:t>
      </w:r>
    </w:p>
    <w:p>
      <w:pPr>
        <w:spacing w:after="140" w:line="322" w:lineRule="auto" w:before="0"/>
      </w:pPr>
      <w:r>
        <w:rPr>
          <w:rFonts w:ascii="Helvetica" w:hAnsi="Helvetica" w:cs="Helvetica" w:eastAsia="Helvetica"/>
          <w:b w:val="0"/>
          <w:color w:val="22262B"/>
          <w:sz w:val="21"/>
        </w:rPr>
        <w:t>Managers submitting mid-period start or separation dates must state the effective date and confirm the first or last day the employee actually worked. Finance computes the workday count; the manager does not.</w:t>
      </w:r>
    </w:p>
    <w:p>
      <w:pPr>
        <w:spacing w:after="140" w:line="322" w:lineRule="auto" w:before="0"/>
      </w:pPr>
      <w:r>
        <w:rPr>
          <w:rFonts w:ascii="Helvetica" w:hAnsi="Helvetica" w:cs="Helvetica" w:eastAsia="Helvetica"/>
          <w:b w:val="0"/>
          <w:color w:val="22262B"/>
          <w:sz w:val="21"/>
        </w:rPr>
        <w:t>Sign-on bonuses are excluded from proration. See Section 5.</w:t>
      </w:r>
    </w:p>
    <w:p>
      <w:pPr>
        <w:keepNext/>
        <w:spacing w:before="320" w:after="120" w:line="264" w:lineRule="auto"/>
        <w:pBdr>
          <w:bottom w:val="single" w:sz="6" w:space="6" w:color="C9D2E0"/>
        </w:pBdr>
      </w:pPr>
      <w:r>
        <w:rPr>
          <w:rFonts w:ascii="Georgia" w:hAnsi="Georgia" w:cs="Georgia" w:eastAsia="Georgia"/>
          <w:b/>
          <w:color w:val="1F2A5A"/>
          <w:sz w:val="29"/>
        </w:rPr>
        <w:t>5. Sign-On Bonuses</w:t>
      </w:r>
    </w:p>
    <w:p>
      <w:pPr>
        <w:spacing w:after="140" w:line="322" w:lineRule="auto" w:before="0"/>
      </w:pPr>
      <w:r>
        <w:rPr>
          <w:rFonts w:ascii="Helvetica" w:hAnsi="Helvetica" w:cs="Helvetica" w:eastAsia="Helvetica"/>
          <w:b w:val="0"/>
          <w:color w:val="22262B"/>
          <w:sz w:val="21"/>
        </w:rPr>
        <w:t xml:space="preserve">Sign-on bonuses are paid on the </w:t>
      </w:r>
      <w:r>
        <w:rPr>
          <w:rFonts w:ascii="Helvetica" w:hAnsi="Helvetica" w:cs="Helvetica" w:eastAsia="Helvetica"/>
          <w:b/>
          <w:color w:val="22262B"/>
          <w:sz w:val="21"/>
        </w:rPr>
        <w:t>first regular payroll after</w:t>
      </w:r>
      <w:r>
        <w:rPr>
          <w:rFonts w:ascii="Helvetica" w:hAnsi="Helvetica" w:cs="Helvetica" w:eastAsia="Helvetica"/>
          <w:b w:val="0"/>
          <w:color w:val="22262B"/>
          <w:sz w:val="21"/>
        </w:rPr>
        <w:t xml:space="preserve"> the start date. They are not paid on the start date itself, not paid off-cycle, and not prorated. The bonus rides the first check that includes any wages for the employee.</w:t>
      </w:r>
    </w:p>
    <w:p>
      <w:pPr>
        <w:spacing w:after="140" w:line="322" w:lineRule="auto" w:before="0"/>
      </w:pPr>
      <w:r>
        <w:rPr>
          <w:rFonts w:ascii="Helvetica" w:hAnsi="Helvetica" w:cs="Helvetica" w:eastAsia="Helvetica"/>
          <w:b w:val="0"/>
          <w:color w:val="22262B"/>
          <w:sz w:val="21"/>
        </w:rPr>
        <w:t>Example: an employee starting on 09/08/2026 with a $4,000 sign-on bonus receives the bonus on the check dated 09/18/2026, together with the workday-prorated wages for the period 09/14/2026 – 09/27/2026.</w:t>
      </w:r>
      <w:r>
        <w:rPr>
          <w:rFonts w:ascii="Helvetica" w:hAnsi="Helvetica" w:cs="Helvetica" w:eastAsia="Helvetica"/>
          <w:b/>
          <w:color w:val="22262B"/>
          <w:sz w:val="21"/>
        </w:rPr>
      </w:r>
      <w:r>
        <w:rPr>
          <w:rFonts w:ascii="Helvetica" w:hAnsi="Helvetica" w:cs="Helvetica" w:eastAsia="Helvetica"/>
          <w:b w:val="0"/>
          <w:color w:val="22262B"/>
          <w:sz w:val="21"/>
        </w:rPr>
      </w:r>
    </w:p>
    <w:p>
      <w:pPr>
        <w:spacing w:after="140" w:line="322" w:lineRule="auto" w:before="0"/>
      </w:pPr>
      <w:r>
        <w:rPr>
          <w:rFonts w:ascii="Helvetica" w:hAnsi="Helvetica" w:cs="Helvetica" w:eastAsia="Helvetica"/>
          <w:b w:val="0"/>
          <w:color w:val="22262B"/>
          <w:sz w:val="21"/>
        </w:rPr>
        <w:t>Sign-on bonuses are subject to standard federal withholding and are reported as supplemental wages on the pay stub.</w:t>
      </w:r>
    </w:p>
    <w:p>
      <w:pPr>
        <w:keepNext/>
        <w:spacing w:before="320" w:after="120" w:line="264" w:lineRule="auto"/>
        <w:pBdr>
          <w:bottom w:val="single" w:sz="6" w:space="6" w:color="C9D2E0"/>
        </w:pBdr>
      </w:pPr>
      <w:r>
        <w:rPr>
          <w:rFonts w:ascii="Georgia" w:hAnsi="Georgia" w:cs="Georgia" w:eastAsia="Georgia"/>
          <w:b/>
          <w:color w:val="1F2A5A"/>
          <w:sz w:val="29"/>
        </w:rPr>
        <w:t>6. Off-Cycle Checks</w:t>
      </w:r>
    </w:p>
    <w:p>
      <w:pPr>
        <w:spacing w:after="140" w:line="322" w:lineRule="auto" w:before="0"/>
      </w:pPr>
      <w:r>
        <w:rPr>
          <w:rFonts w:ascii="Helvetica" w:hAnsi="Helvetica" w:cs="Helvetica" w:eastAsia="Helvetica"/>
          <w:b w:val="0"/>
          <w:color w:val="22262B"/>
          <w:sz w:val="21"/>
        </w:rPr>
        <w:t xml:space="preserve">Off-cycle checks require </w:t>
      </w:r>
      <w:r>
        <w:rPr>
          <w:rFonts w:ascii="Helvetica" w:hAnsi="Helvetica" w:cs="Helvetica" w:eastAsia="Helvetica"/>
          <w:b/>
          <w:color w:val="22262B"/>
          <w:sz w:val="21"/>
        </w:rPr>
        <w:t>Finance Manager approval</w:t>
      </w:r>
      <w:r>
        <w:rPr>
          <w:rFonts w:ascii="Helvetica" w:hAnsi="Helvetica" w:cs="Helvetica" w:eastAsia="Helvetica"/>
          <w:b w:val="0"/>
          <w:color w:val="22262B"/>
          <w:sz w:val="21"/>
        </w:rPr>
        <w:t>. No exceptions. This includes:</w:t>
      </w:r>
    </w:p>
    <w:p>
      <w:pPr>
        <w:pStyle w:val="ListBullet"/>
        <w:spacing w:after="60" w:before="0" w:line="300" w:lineRule="auto"/>
        <w:ind w:left="504" w:hanging="259"/>
      </w:pPr>
      <w:r>
        <w:rPr>
          <w:rFonts w:ascii="Helvetica" w:hAnsi="Helvetica" w:cs="Helvetica" w:eastAsia="Helvetica"/>
          <w:b w:val="0"/>
          <w:color w:val="22262B"/>
          <w:sz w:val="21"/>
        </w:rPr>
        <w:t>Final checks issued outside the regular cadence.</w:t>
      </w:r>
    </w:p>
    <w:p>
      <w:pPr>
        <w:pStyle w:val="ListBullet"/>
        <w:spacing w:after="60" w:before="0" w:line="300" w:lineRule="auto"/>
        <w:ind w:left="504" w:hanging="259"/>
      </w:pPr>
      <w:r>
        <w:rPr>
          <w:rFonts w:ascii="Helvetica" w:hAnsi="Helvetica" w:cs="Helvetica" w:eastAsia="Helvetica"/>
          <w:b w:val="0"/>
          <w:color w:val="22262B"/>
          <w:sz w:val="21"/>
        </w:rPr>
        <w:t>Corrections to prior-period gross (retroactive true-ups issued between check dates).</w:t>
      </w:r>
    </w:p>
    <w:p>
      <w:pPr>
        <w:pStyle w:val="ListBullet"/>
        <w:spacing w:after="60" w:before="0" w:line="300" w:lineRule="auto"/>
        <w:ind w:left="504" w:hanging="259"/>
      </w:pPr>
      <w:r>
        <w:rPr>
          <w:rFonts w:ascii="Helvetica" w:hAnsi="Helvetica" w:cs="Helvetica" w:eastAsia="Helvetica"/>
          <w:b w:val="0"/>
          <w:color w:val="22262B"/>
          <w:sz w:val="21"/>
        </w:rPr>
        <w:t>Sign-on bonuses issued in advance of the first regular payroll (prohibited by Section 5 and therefore prohibited off-cycle).</w:t>
      </w:r>
    </w:p>
    <w:p>
      <w:pPr>
        <w:pStyle w:val="ListBullet"/>
        <w:spacing w:after="60" w:before="0" w:line="300" w:lineRule="auto"/>
        <w:ind w:left="504" w:hanging="259"/>
      </w:pPr>
      <w:r>
        <w:rPr>
          <w:rFonts w:ascii="Helvetica" w:hAnsi="Helvetica" w:cs="Helvetica" w:eastAsia="Helvetica"/>
          <w:b w:val="0"/>
          <w:color w:val="22262B"/>
          <w:sz w:val="21"/>
        </w:rPr>
        <w:t>Any wage payment initiated outside the HRIS payroll run.</w:t>
      </w:r>
    </w:p>
    <w:p>
      <w:pPr>
        <w:spacing w:after="140" w:line="322" w:lineRule="auto" w:before="0"/>
      </w:pPr>
      <w:r>
        <w:rPr>
          <w:rFonts w:ascii="Helvetica" w:hAnsi="Helvetica" w:cs="Helvetica" w:eastAsia="Helvetica"/>
          <w:b w:val="0"/>
          <w:color w:val="22262B"/>
          <w:sz w:val="21"/>
        </w:rPr>
        <w:t>Requests must be submitted to krystale@troutlyanalytics.com with the employee name, employee ID, gross amount, tax treatment, reason, and the signed source document supporting the amount. Requests submitted without a signed source document will be returned.</w:t>
      </w:r>
    </w:p>
    <w:p>
      <w:pPr>
        <w:spacing w:after="140" w:line="322" w:lineRule="auto" w:before="0"/>
      </w:pPr>
      <w:r>
        <w:rPr>
          <w:rFonts w:ascii="Helvetica" w:hAnsi="Helvetica" w:cs="Helvetica" w:eastAsia="Helvetica"/>
          <w:b w:val="0"/>
          <w:color w:val="22262B"/>
          <w:sz w:val="21"/>
        </w:rPr>
        <w:t>Off-cycle checks post to the general ledger in the period issued and are reconciled to the next regular payroll register.</w:t>
      </w:r>
    </w:p>
    <w:p>
      <w:pPr>
        <w:keepNext/>
        <w:spacing w:before="320" w:after="120" w:line="264" w:lineRule="auto"/>
        <w:pBdr>
          <w:bottom w:val="single" w:sz="6" w:space="6" w:color="C9D2E0"/>
        </w:pBdr>
      </w:pPr>
      <w:r>
        <w:rPr>
          <w:rFonts w:ascii="Georgia" w:hAnsi="Georgia" w:cs="Georgia" w:eastAsia="Georgia"/>
          <w:b/>
          <w:color w:val="1F2A5A"/>
          <w:sz w:val="29"/>
        </w:rPr>
        <w:t>7. System of Record</w:t>
      </w:r>
    </w:p>
    <w:p>
      <w:pPr>
        <w:spacing w:after="140" w:line="322" w:lineRule="auto" w:before="0"/>
      </w:pPr>
      <w:r>
        <w:rPr>
          <w:rFonts w:ascii="Helvetica" w:hAnsi="Helvetica" w:cs="Helvetica" w:eastAsia="Helvetica"/>
          <w:b w:val="0"/>
          <w:color w:val="22262B"/>
          <w:sz w:val="21"/>
        </w:rPr>
        <w:t xml:space="preserve">The HRIS is the payroll system of record from </w:t>
      </w:r>
      <w:r>
        <w:rPr>
          <w:rFonts w:ascii="Helvetica" w:hAnsi="Helvetica" w:cs="Helvetica" w:eastAsia="Helvetica"/>
          <w:b/>
          <w:color w:val="22262B"/>
          <w:sz w:val="21"/>
        </w:rPr>
        <w:t>07/01/2026</w:t>
      </w:r>
      <w:r>
        <w:rPr>
          <w:rFonts w:ascii="Helvetica" w:hAnsi="Helvetica" w:cs="Helvetica" w:eastAsia="Helvetica"/>
          <w:b w:val="0"/>
          <w:color w:val="22262B"/>
          <w:sz w:val="21"/>
        </w:rPr>
        <w:t>. Employee master data, salary, tax elections, direct deposit, and pay history are maintained in the HRIS. Wage payments outside the HRIS are prohibited except as permitted under Section 6.</w:t>
      </w:r>
    </w:p>
    <w:p>
      <w:pPr>
        <w:spacing w:after="140" w:line="322" w:lineRule="auto" w:before="0"/>
      </w:pPr>
      <w:r>
        <w:rPr>
          <w:rFonts w:ascii="Helvetica" w:hAnsi="Helvetica" w:cs="Helvetica" w:eastAsia="Helvetica"/>
          <w:b w:val="0"/>
          <w:color w:val="22262B"/>
          <w:sz w:val="21"/>
        </w:rPr>
        <w:t>HRIS records are being reconciled to signed compensation documents. Where a signed compensation document conflicts with the HRIS record, the signed document governs the amount owed and the HRIS record is to be corrected. Managers noticing a discrepancy between an employee’s HRIS pay rate and the last signed offer, amendment, or promotion letter for that employee should raise it to Finance in writing; Finance will trace to the signed document and open a correction.</w:t>
      </w:r>
    </w:p>
    <w:p>
      <w:pPr>
        <w:spacing w:after="140" w:line="322" w:lineRule="auto" w:before="0"/>
      </w:pPr>
      <w:r>
        <w:rPr>
          <w:rFonts w:ascii="Helvetica" w:hAnsi="Helvetica" w:cs="Helvetica" w:eastAsia="Helvetica"/>
          <w:b w:val="0"/>
          <w:color w:val="22262B"/>
          <w:sz w:val="21"/>
        </w:rPr>
        <w:t>Wiki pages describing pay frequency, pay dates, or pay calculation are informational and do not govern. This memo governs.</w:t>
      </w:r>
    </w:p>
    <w:p>
      <w:pPr>
        <w:keepNext/>
        <w:spacing w:before="320" w:after="120" w:line="264" w:lineRule="auto"/>
        <w:pBdr>
          <w:bottom w:val="single" w:sz="6" w:space="6" w:color="C9D2E0"/>
        </w:pBdr>
      </w:pPr>
      <w:r>
        <w:rPr>
          <w:rFonts w:ascii="Georgia" w:hAnsi="Georgia" w:cs="Georgia" w:eastAsia="Georgia"/>
          <w:b/>
          <w:color w:val="1F2A5A"/>
          <w:sz w:val="29"/>
        </w:rPr>
        <w:t>8. FY2026 Biweekly Pay Calendar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52"/>
        <w:gridCol w:w="2880"/>
      </w:tblGrid>
      <w:tr>
        <w:tc>
          <w:tcPr>
            <w:tcW w:type="dxa" w:w="5184"/>
            <w:shd w:val="clear" w:color="auto" w:fill="1F2A5A"/>
            <w:tcMar>
              <w:top w:w="90" w:type="dxa"/>
              <w:bottom w:w="9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12" w:space="0" w:color="B08A3E"/>
            </w:tcBorders>
          </w:tcPr>
          <w:p>
            <w:pPr>
              <w:spacing w:after="0" w:before="0" w:line="264" w:lineRule="auto"/>
              <w:rPr>
                <w:color w:val="FFFFFF"/>
              </w:rPr>
            </w:pPr>
            <w:r>
              <w:rPr>
                <w:rFonts w:ascii="Georgia" w:hAnsi="Georgia" w:cs="Georgia" w:eastAsia="Georgia"/>
                <w:b/>
                <w:color w:val="FFFFFF"/>
                <w:sz w:val="22"/>
              </w:rPr>
              <w:t>Pay Period</w:t>
            </w:r>
          </w:p>
        </w:tc>
        <w:tc>
          <w:tcPr>
            <w:tcW w:type="dxa" w:w="4032"/>
            <w:shd w:val="clear" w:color="auto" w:fill="1F2A5A"/>
            <w:tcMar>
              <w:top w:w="90" w:type="dxa"/>
              <w:bottom w:w="9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12" w:space="0" w:color="B08A3E"/>
            </w:tcBorders>
          </w:tcPr>
          <w:p>
            <w:pPr>
              <w:spacing w:after="0" w:before="0" w:line="264" w:lineRule="auto"/>
              <w:rPr>
                <w:color w:val="FFFFFF"/>
              </w:rPr>
            </w:pPr>
            <w:r>
              <w:rPr>
                <w:rFonts w:ascii="Georgia" w:hAnsi="Georgia" w:cs="Georgia" w:eastAsia="Georgia"/>
                <w:b/>
                <w:color w:val="FFFFFF"/>
                <w:sz w:val="22"/>
              </w:rPr>
              <w:t>Check Date</w:t>
            </w:r>
          </w:p>
        </w:tc>
      </w:tr>
      <w:tr>
        <w:tc>
          <w:tcPr>
            <w:tcW w:type="dxa" w:w="5184"/>
            <w:shd w:val="clear" w:color="auto" w:fill="FFFFFF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22262B"/>
                <w:sz w:val="20"/>
              </w:rPr>
              <w:t>06/22/2026 – 07/05/2026</w:t>
            </w:r>
          </w:p>
        </w:tc>
        <w:tc>
          <w:tcPr>
            <w:tcW w:type="dxa" w:w="4032"/>
            <w:shd w:val="clear" w:color="auto" w:fill="FFFFFF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Georgia" w:hAnsi="Georgia" w:cs="Georgia" w:eastAsia="Georgia"/>
                <w:b/>
                <w:color w:val="1F2A5A"/>
                <w:sz w:val="21"/>
              </w:rPr>
              <w:t>07/10/2026</w:t>
            </w:r>
          </w:p>
        </w:tc>
      </w:tr>
      <w:tr>
        <w:tc>
          <w:tcPr>
            <w:tcW w:type="dxa" w:w="5184"/>
            <w:shd w:val="clear" w:color="auto" w:fill="EEF1F7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22262B"/>
                <w:sz w:val="20"/>
              </w:rPr>
              <w:t>07/06/2026 – 07/19/2026</w:t>
            </w:r>
          </w:p>
        </w:tc>
        <w:tc>
          <w:tcPr>
            <w:tcW w:type="dxa" w:w="4032"/>
            <w:shd w:val="clear" w:color="auto" w:fill="EEF1F7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Georgia" w:hAnsi="Georgia" w:cs="Georgia" w:eastAsia="Georgia"/>
                <w:b/>
                <w:color w:val="1F2A5A"/>
                <w:sz w:val="21"/>
              </w:rPr>
              <w:t>07/24/2026</w:t>
            </w:r>
          </w:p>
        </w:tc>
      </w:tr>
      <w:tr>
        <w:tc>
          <w:tcPr>
            <w:tcW w:type="dxa" w:w="5184"/>
            <w:shd w:val="clear" w:color="auto" w:fill="FFFFFF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22262B"/>
                <w:sz w:val="20"/>
              </w:rPr>
              <w:t>07/20/2026 – 08/02/2026</w:t>
            </w:r>
          </w:p>
        </w:tc>
        <w:tc>
          <w:tcPr>
            <w:tcW w:type="dxa" w:w="4032"/>
            <w:shd w:val="clear" w:color="auto" w:fill="FFFFFF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Georgia" w:hAnsi="Georgia" w:cs="Georgia" w:eastAsia="Georgia"/>
                <w:b/>
                <w:color w:val="1F2A5A"/>
                <w:sz w:val="21"/>
              </w:rPr>
              <w:t>08/07/2026</w:t>
            </w:r>
          </w:p>
        </w:tc>
      </w:tr>
      <w:tr>
        <w:tc>
          <w:tcPr>
            <w:tcW w:type="dxa" w:w="5184"/>
            <w:shd w:val="clear" w:color="auto" w:fill="EEF1F7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22262B"/>
                <w:sz w:val="20"/>
              </w:rPr>
              <w:t>08/03/2026 – 08/16/2026</w:t>
            </w:r>
          </w:p>
        </w:tc>
        <w:tc>
          <w:tcPr>
            <w:tcW w:type="dxa" w:w="4032"/>
            <w:shd w:val="clear" w:color="auto" w:fill="EEF1F7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Georgia" w:hAnsi="Georgia" w:cs="Georgia" w:eastAsia="Georgia"/>
                <w:b/>
                <w:color w:val="1F2A5A"/>
                <w:sz w:val="21"/>
              </w:rPr>
              <w:t>08/21/2026</w:t>
            </w:r>
          </w:p>
        </w:tc>
      </w:tr>
      <w:tr>
        <w:tc>
          <w:tcPr>
            <w:tcW w:type="dxa" w:w="5184"/>
            <w:shd w:val="clear" w:color="auto" w:fill="FFFFFF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22262B"/>
                <w:sz w:val="20"/>
              </w:rPr>
              <w:t>08/17/2026 – 08/30/2026</w:t>
            </w:r>
          </w:p>
        </w:tc>
        <w:tc>
          <w:tcPr>
            <w:tcW w:type="dxa" w:w="4032"/>
            <w:shd w:val="clear" w:color="auto" w:fill="FFFFFF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Georgia" w:hAnsi="Georgia" w:cs="Georgia" w:eastAsia="Georgia"/>
                <w:b/>
                <w:color w:val="1F2A5A"/>
                <w:sz w:val="21"/>
              </w:rPr>
              <w:t>09/04/2026</w:t>
            </w:r>
          </w:p>
        </w:tc>
      </w:tr>
      <w:tr>
        <w:tc>
          <w:tcPr>
            <w:tcW w:type="dxa" w:w="5184"/>
            <w:shd w:val="clear" w:color="auto" w:fill="EEF1F7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22262B"/>
                <w:sz w:val="20"/>
              </w:rPr>
              <w:t>08/31/2026 – 09/13/2026</w:t>
            </w:r>
          </w:p>
        </w:tc>
        <w:tc>
          <w:tcPr>
            <w:tcW w:type="dxa" w:w="4032"/>
            <w:shd w:val="clear" w:color="auto" w:fill="EEF1F7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Georgia" w:hAnsi="Georgia" w:cs="Georgia" w:eastAsia="Georgia"/>
                <w:b/>
                <w:color w:val="1F2A5A"/>
                <w:sz w:val="21"/>
              </w:rPr>
              <w:t>09/18/2026</w:t>
            </w:r>
          </w:p>
        </w:tc>
      </w:tr>
      <w:tr>
        <w:tc>
          <w:tcPr>
            <w:tcW w:type="dxa" w:w="5184"/>
            <w:shd w:val="clear" w:color="auto" w:fill="FFFFFF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22262B"/>
                <w:sz w:val="20"/>
              </w:rPr>
              <w:t>09/14/2026 – 09/27/2026</w:t>
            </w:r>
          </w:p>
        </w:tc>
        <w:tc>
          <w:tcPr>
            <w:tcW w:type="dxa" w:w="4032"/>
            <w:shd w:val="clear" w:color="auto" w:fill="FFFFFF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Georgia" w:hAnsi="Georgia" w:cs="Georgia" w:eastAsia="Georgia"/>
                <w:b/>
                <w:color w:val="1F2A5A"/>
                <w:sz w:val="21"/>
              </w:rPr>
              <w:t>10/02/2026</w:t>
            </w:r>
          </w:p>
        </w:tc>
      </w:tr>
      <w:tr>
        <w:tc>
          <w:tcPr>
            <w:tcW w:type="dxa" w:w="5184"/>
            <w:shd w:val="clear" w:color="auto" w:fill="EEF1F7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22262B"/>
                <w:sz w:val="20"/>
              </w:rPr>
              <w:t>09/28/2026 – 10/11/2026</w:t>
            </w:r>
          </w:p>
        </w:tc>
        <w:tc>
          <w:tcPr>
            <w:tcW w:type="dxa" w:w="4032"/>
            <w:shd w:val="clear" w:color="auto" w:fill="EEF1F7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Georgia" w:hAnsi="Georgia" w:cs="Georgia" w:eastAsia="Georgia"/>
                <w:b/>
                <w:color w:val="1F2A5A"/>
                <w:sz w:val="21"/>
              </w:rPr>
              <w:t>10/16/2026</w:t>
            </w:r>
          </w:p>
        </w:tc>
      </w:tr>
      <w:tr>
        <w:tc>
          <w:tcPr>
            <w:tcW w:type="dxa" w:w="5184"/>
            <w:shd w:val="clear" w:color="auto" w:fill="FFFFFF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22262B"/>
                <w:sz w:val="20"/>
              </w:rPr>
              <w:t>10/12/2026 – 10/25/2026</w:t>
            </w:r>
          </w:p>
        </w:tc>
        <w:tc>
          <w:tcPr>
            <w:tcW w:type="dxa" w:w="4032"/>
            <w:shd w:val="clear" w:color="auto" w:fill="FFFFFF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Georgia" w:hAnsi="Georgia" w:cs="Georgia" w:eastAsia="Georgia"/>
                <w:b/>
                <w:color w:val="1F2A5A"/>
                <w:sz w:val="21"/>
              </w:rPr>
              <w:t>10/30/2026</w:t>
            </w:r>
          </w:p>
        </w:tc>
      </w:tr>
      <w:tr>
        <w:tc>
          <w:tcPr>
            <w:tcW w:type="dxa" w:w="5184"/>
            <w:shd w:val="clear" w:color="auto" w:fill="EEF1F7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22262B"/>
                <w:sz w:val="20"/>
              </w:rPr>
              <w:t>10/26/2026 – 11/08/2026</w:t>
            </w:r>
          </w:p>
        </w:tc>
        <w:tc>
          <w:tcPr>
            <w:tcW w:type="dxa" w:w="4032"/>
            <w:shd w:val="clear" w:color="auto" w:fill="EEF1F7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Georgia" w:hAnsi="Georgia" w:cs="Georgia" w:eastAsia="Georgia"/>
                <w:b/>
                <w:color w:val="1F2A5A"/>
                <w:sz w:val="21"/>
              </w:rPr>
              <w:t>11/13/2026</w:t>
            </w:r>
          </w:p>
        </w:tc>
      </w:tr>
      <w:tr>
        <w:tc>
          <w:tcPr>
            <w:tcW w:type="dxa" w:w="5184"/>
            <w:shd w:val="clear" w:color="auto" w:fill="FFFFFF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22262B"/>
                <w:sz w:val="20"/>
              </w:rPr>
              <w:t>11/09/2026 – 11/22/2026</w:t>
            </w:r>
          </w:p>
        </w:tc>
        <w:tc>
          <w:tcPr>
            <w:tcW w:type="dxa" w:w="4032"/>
            <w:shd w:val="clear" w:color="auto" w:fill="FFFFFF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Georgia" w:hAnsi="Georgia" w:cs="Georgia" w:eastAsia="Georgia"/>
                <w:b/>
                <w:color w:val="1F2A5A"/>
                <w:sz w:val="21"/>
              </w:rPr>
              <w:t>11/27/2026</w:t>
            </w:r>
          </w:p>
        </w:tc>
      </w:tr>
      <w:tr>
        <w:tc>
          <w:tcPr>
            <w:tcW w:type="dxa" w:w="5184"/>
            <w:shd w:val="clear" w:color="auto" w:fill="EEF1F7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22262B"/>
                <w:sz w:val="20"/>
              </w:rPr>
              <w:t>11/23/2026 – 12/06/2026</w:t>
            </w:r>
          </w:p>
        </w:tc>
        <w:tc>
          <w:tcPr>
            <w:tcW w:type="dxa" w:w="4032"/>
            <w:shd w:val="clear" w:color="auto" w:fill="EEF1F7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Georgia" w:hAnsi="Georgia" w:cs="Georgia" w:eastAsia="Georgia"/>
                <w:b/>
                <w:color w:val="1F2A5A"/>
                <w:sz w:val="21"/>
              </w:rPr>
              <w:t>12/11/2026</w:t>
            </w:r>
          </w:p>
        </w:tc>
      </w:tr>
      <w:tr>
        <w:tc>
          <w:tcPr>
            <w:tcW w:type="dxa" w:w="5184"/>
            <w:shd w:val="clear" w:color="auto" w:fill="FFFFFF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22262B"/>
                <w:sz w:val="20"/>
              </w:rPr>
              <w:t>12/07/2026 – 12/20/2026</w:t>
            </w:r>
          </w:p>
        </w:tc>
        <w:tc>
          <w:tcPr>
            <w:tcW w:type="dxa" w:w="4032"/>
            <w:shd w:val="clear" w:color="auto" w:fill="FFFFFF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Georgia" w:hAnsi="Georgia" w:cs="Georgia" w:eastAsia="Georgia"/>
                <w:b/>
                <w:color w:val="1F2A5A"/>
                <w:sz w:val="21"/>
              </w:rPr>
              <w:t>12/25/2026</w:t>
            </w:r>
          </w:p>
        </w:tc>
      </w:tr>
      <w:tr>
        <w:tc>
          <w:tcPr>
            <w:tcW w:type="dxa" w:w="5184"/>
            <w:shd w:val="clear" w:color="auto" w:fill="EEF1F7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22262B"/>
                <w:sz w:val="20"/>
              </w:rPr>
              <w:t>12/21/2026 – 01/03/2027</w:t>
            </w:r>
          </w:p>
        </w:tc>
        <w:tc>
          <w:tcPr>
            <w:tcW w:type="dxa" w:w="4032"/>
            <w:shd w:val="clear" w:color="auto" w:fill="EEF1F7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  <w:vAlign w:val="center"/>
            <w:tcBorders>
              <w:bottom w:val="single" w:sz="2" w:space="0" w:color="C9D2E0"/>
            </w:tcBorders>
          </w:tcPr>
          <w:p>
            <w:pPr>
              <w:spacing w:after="0" w:before="0" w:line="288" w:lineRule="auto"/>
            </w:pPr>
            <w:r>
              <w:rPr>
                <w:rFonts w:ascii="Georgia" w:hAnsi="Georgia" w:cs="Georgia" w:eastAsia="Georgia"/>
                <w:b/>
                <w:color w:val="1F2A5A"/>
                <w:sz w:val="21"/>
              </w:rPr>
              <w:t>01/08/2027</w:t>
            </w:r>
          </w:p>
        </w:tc>
      </w:tr>
    </w:tbl>
    <w:p>
      <w:pPr>
        <w:spacing w:before="0" w:after="140" w:line="322" w:lineRule="auto"/>
      </w:pPr>
      <w:r>
        <w:rPr>
          <w:rFonts w:ascii="Helvetica" w:hAnsi="Helvetica" w:cs="Helvetica" w:eastAsia="Helvetica"/>
          <w:b w:val="0"/>
          <w:color w:val="22262B"/>
          <w:sz w:val="21"/>
        </w:rPr>
        <w:t>Check dates falling on a company-observed holiday are advanced to the preceding business day. Direct deposit files are transmitted two banking days before the check date.</w:t>
      </w:r>
    </w:p>
    <w:p>
      <w:pPr>
        <w:spacing w:before="0" w:after="140" w:line="322" w:lineRule="auto"/>
        <w:pBdr>
          <w:bottom w:val="single" w:sz="6" w:space="1" w:color="000000"/>
        </w:pBdr>
      </w:pPr>
    </w:p>
    <w:p>
      <w:pPr>
        <w:spacing w:after="120" w:before="200"/>
      </w:pPr>
      <w:r>
        <w:rPr>
          <w:rFonts w:ascii="Helvetica" w:hAnsi="Helvetica" w:cs="Helvetica" w:eastAsia="Helvetica"/>
          <w:b/>
          <w:i w:val="0"/>
          <w:color w:val="1F2A5A"/>
          <w:sz w:val="21"/>
        </w:rPr>
        <w:t xml:space="preserve">Summary. </w:t>
      </w:r>
      <w:r>
        <w:rPr>
          <w:rFonts w:ascii="Helvetica" w:hAnsi="Helvetica" w:cs="Helvetica" w:eastAsia="Helvetica"/>
          <w:b w:val="0"/>
          <w:i w:val="0"/>
          <w:color w:val="22262B"/>
          <w:sz w:val="21"/>
        </w:rPr>
        <w:t>26 checks per year. Per-period gross = annual salary / 26. First check 07/10/2026. Sign-on bonuses on the first regular payroll after start. Off-cycle checks require Finance Manager approval. HRIS is the system of record from 07/01/2026 and is being reconciled to signed compensation documents.</w:t>
      </w:r>
    </w:p>
    <w:p>
      <w:pPr>
        <w:spacing w:after="280" w:before="80"/>
      </w:pPr>
      <w:r>
        <w:rPr>
          <w:rFonts w:ascii="Helvetica" w:hAnsi="Helvetica" w:cs="Helvetica" w:eastAsia="Helvetica"/>
          <w:b w:val="0"/>
          <w:color w:val="22262B"/>
          <w:sz w:val="21"/>
        </w:rPr>
        <w:t>Questions: krystale@troutlyanalytics.com or (512) 555-0169.</w:t>
      </w:r>
    </w:p>
    <w:p>
      <w:pPr>
        <w:spacing w:after="0" w:before="200"/>
      </w:pPr>
      <w:r>
        <w:rPr>
          <w:rFonts w:ascii="Georgia" w:hAnsi="Georgia" w:cs="Georgia" w:eastAsia="Georgia"/>
          <w:b/>
          <w:color w:val="1F2A5A"/>
          <w:sz w:val="24"/>
        </w:rPr>
        <w:t>Krystale Jumawan</w:t>
      </w:r>
    </w:p>
    <w:p>
      <w:pPr>
        <w:spacing w:after="0" w:before="0"/>
      </w:pPr>
      <w:r>
        <w:rPr>
          <w:rFonts w:ascii="Helvetica" w:hAnsi="Helvetica" w:cs="Helvetica" w:eastAsia="Helvetica"/>
          <w:b w:val="0"/>
          <w:i/>
          <w:color w:val="5A606B"/>
          <w:sz w:val="20"/>
        </w:rPr>
        <w:t>Finance Manager</w:t>
      </w:r>
    </w:p>
    <w:p>
      <w:pPr>
        <w:spacing w:after="0" w:before="40"/>
      </w:pPr>
      <w:r>
        <w:rPr>
          <w:rFonts w:ascii="Helvetica" w:hAnsi="Helvetica" w:cs="Helvetica" w:eastAsia="Helvetica"/>
          <w:b w:val="0"/>
          <w:color w:val="5A606B"/>
          <w:sz w:val="20"/>
        </w:rPr>
        <w:t>Troutly Analytics, Inc.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17" w:lineRule="auto"/>
    </w:pPr>
    <w:rPr>
      <w:rFonts w:ascii="Helvetica" w:hAnsi="Helvetica"/>
      <w:color w:val="2226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cp:category/>
  <dc:creator xmlns:dc="http://purl.org/dc/elements/1.1/">Krystale Jumawan</dc:creator>
  <cp:lastModifiedBy>Krystale Jumawan</cp:lastModifiedBy>
</cp:coreProperties>
</file>