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line="240" w:lineRule="auto"/>
        <w:jc w:val="left"/>
      </w:pPr>
      <w:r>
        <w:rPr>
          <w:rFonts w:ascii="Helvetica" w:hAnsi="Helvetica" w:cs="Helvetica"/>
          <w:b/>
          <w:color w:val="1F2A44"/>
          <w:sz w:val="60"/>
        </w:rPr>
        <w:t>MEMORANDUM</w:t>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1584"/>
        <w:gridCol w:w="7776"/>
      </w:tblGrid>
      <w:tr>
        <w:tc>
          <w:tcPr>
            <w:tcW w:type="dxa" w:w="2016"/>
            <w:tcMar>
              <w:top w:w="60" w:type="dxa"/>
              <w:bottom w:w="60" w:type="dxa"/>
              <w:left w:w="0" w:type="dxa"/>
              <w:right w:w="140" w:type="dxa"/>
            </w:tcMar>
            <w:tcBorders>
              <w:top w:val="nil"/>
              <w:left w:val="nil"/>
              <w:bottom w:val="single" w:sz="6" w:space="0" w:color="C9D2E0"/>
              <w:right w:val="nil"/>
            </w:tcBorders>
          </w:tcPr>
          <w:p>
            <w:pPr>
              <w:spacing w:after="40" w:before="40" w:line="276" w:lineRule="auto"/>
            </w:pPr>
            <w:r>
              <w:rPr>
                <w:rFonts w:ascii="Helvetica" w:hAnsi="Helvetica" w:cs="Helvetica"/>
                <w:b/>
                <w:color w:val="2F5D8A"/>
                <w:sz w:val="19"/>
              </w:rPr>
              <w:t>TO:</w:t>
            </w:r>
          </w:p>
        </w:tc>
        <w:tc>
          <w:tcPr>
            <w:tcW w:type="dxa" w:w="7344"/>
            <w:tcMar>
              <w:top w:w="60" w:type="dxa"/>
              <w:bottom w:w="60" w:type="dxa"/>
              <w:left w:w="0" w:type="dxa"/>
              <w:right w:w="140" w:type="dxa"/>
            </w:tcMar>
            <w:tcBorders>
              <w:top w:val="nil"/>
              <w:left w:val="nil"/>
              <w:bottom w:val="single" w:sz="6" w:space="0" w:color="C9D2E0"/>
              <w:right w:val="nil"/>
            </w:tcBorders>
          </w:tcPr>
          <w:p>
            <w:pPr>
              <w:spacing w:after="40" w:before="40" w:line="276" w:lineRule="auto"/>
            </w:pPr>
            <w:r>
              <w:rPr>
                <w:rFonts w:ascii="Helvetica" w:hAnsi="Helvetica" w:cs="Helvetica"/>
                <w:color w:val="22262E"/>
                <w:sz w:val="21"/>
              </w:rPr>
              <w:t>All Troutly Analytics Employees</w:t>
            </w:r>
          </w:p>
        </w:tc>
      </w:tr>
      <w:tr>
        <w:tc>
          <w:tcPr>
            <w:tcW w:type="dxa" w:w="2016"/>
            <w:tcMar>
              <w:top w:w="60" w:type="dxa"/>
              <w:bottom w:w="60" w:type="dxa"/>
              <w:left w:w="0" w:type="dxa"/>
              <w:right w:w="140" w:type="dxa"/>
            </w:tcMar>
            <w:tcBorders>
              <w:top w:val="nil"/>
              <w:left w:val="nil"/>
              <w:bottom w:val="single" w:sz="6" w:space="0" w:color="C9D2E0"/>
              <w:right w:val="nil"/>
            </w:tcBorders>
          </w:tcPr>
          <w:p>
            <w:pPr>
              <w:spacing w:after="40" w:before="40" w:line="276" w:lineRule="auto"/>
            </w:pPr>
            <w:r>
              <w:rPr>
                <w:rFonts w:ascii="Helvetica" w:hAnsi="Helvetica" w:cs="Helvetica"/>
                <w:b/>
                <w:color w:val="2F5D8A"/>
                <w:sz w:val="19"/>
              </w:rPr>
              <w:t>FROM:</w:t>
            </w:r>
          </w:p>
        </w:tc>
        <w:tc>
          <w:tcPr>
            <w:tcW w:type="dxa" w:w="7344"/>
            <w:tcMar>
              <w:top w:w="60" w:type="dxa"/>
              <w:bottom w:w="60" w:type="dxa"/>
              <w:left w:w="0" w:type="dxa"/>
              <w:right w:w="140" w:type="dxa"/>
            </w:tcMar>
            <w:tcBorders>
              <w:top w:val="nil"/>
              <w:left w:val="nil"/>
              <w:bottom w:val="single" w:sz="6" w:space="0" w:color="C9D2E0"/>
              <w:right w:val="nil"/>
            </w:tcBorders>
          </w:tcPr>
          <w:p>
            <w:pPr>
              <w:spacing w:after="40" w:before="40" w:line="276" w:lineRule="auto"/>
            </w:pPr>
            <w:r>
              <w:rPr>
                <w:rFonts w:ascii="Helvetica" w:hAnsi="Helvetica" w:cs="Helvetica"/>
                <w:color w:val="22262E"/>
                <w:sz w:val="21"/>
              </w:rPr>
              <w:t>Michael Labeson, Chief Executive Officer</w:t>
            </w:r>
          </w:p>
        </w:tc>
      </w:tr>
      <w:tr>
        <w:tc>
          <w:tcPr>
            <w:tcW w:type="dxa" w:w="2016"/>
            <w:tcMar>
              <w:top w:w="60" w:type="dxa"/>
              <w:bottom w:w="60" w:type="dxa"/>
              <w:left w:w="0" w:type="dxa"/>
              <w:right w:w="140" w:type="dxa"/>
            </w:tcMar>
            <w:tcBorders>
              <w:top w:val="nil"/>
              <w:left w:val="nil"/>
              <w:bottom w:val="single" w:sz="6" w:space="0" w:color="C9D2E0"/>
              <w:right w:val="nil"/>
            </w:tcBorders>
          </w:tcPr>
          <w:p>
            <w:pPr>
              <w:spacing w:after="40" w:before="40" w:line="276" w:lineRule="auto"/>
            </w:pPr>
            <w:r>
              <w:rPr>
                <w:rFonts w:ascii="Helvetica" w:hAnsi="Helvetica" w:cs="Helvetica"/>
                <w:b/>
                <w:color w:val="2F5D8A"/>
                <w:sz w:val="19"/>
              </w:rPr>
              <w:t>DATE:</w:t>
            </w:r>
          </w:p>
        </w:tc>
        <w:tc>
          <w:tcPr>
            <w:tcW w:type="dxa" w:w="7344"/>
            <w:tcMar>
              <w:top w:w="60" w:type="dxa"/>
              <w:bottom w:w="60" w:type="dxa"/>
              <w:left w:w="0" w:type="dxa"/>
              <w:right w:w="140" w:type="dxa"/>
            </w:tcMar>
            <w:tcBorders>
              <w:top w:val="nil"/>
              <w:left w:val="nil"/>
              <w:bottom w:val="single" w:sz="6" w:space="0" w:color="C9D2E0"/>
              <w:right w:val="nil"/>
            </w:tcBorders>
          </w:tcPr>
          <w:p>
            <w:pPr>
              <w:spacing w:after="40" w:before="40" w:line="276" w:lineRule="auto"/>
            </w:pPr>
            <w:r>
              <w:rPr>
                <w:rFonts w:ascii="Helvetica" w:hAnsi="Helvetica" w:cs="Helvetica"/>
                <w:color w:val="22262E"/>
                <w:sz w:val="21"/>
              </w:rPr>
              <w:t>06/20/2026</w:t>
            </w:r>
          </w:p>
        </w:tc>
      </w:tr>
      <w:tr>
        <w:tc>
          <w:tcPr>
            <w:tcW w:type="dxa" w:w="2016"/>
            <w:tcMar>
              <w:top w:w="60" w:type="dxa"/>
              <w:bottom w:w="60" w:type="dxa"/>
              <w:left w:w="0" w:type="dxa"/>
              <w:right w:w="140" w:type="dxa"/>
            </w:tcMar>
            <w:tcBorders>
              <w:top w:val="nil"/>
              <w:left w:val="nil"/>
              <w:bottom w:val="single" w:sz="6" w:space="0" w:color="C9D2E0"/>
              <w:right w:val="nil"/>
            </w:tcBorders>
          </w:tcPr>
          <w:p>
            <w:pPr>
              <w:spacing w:after="40" w:before="40" w:line="276" w:lineRule="auto"/>
            </w:pPr>
            <w:r>
              <w:rPr>
                <w:rFonts w:ascii="Helvetica" w:hAnsi="Helvetica" w:cs="Helvetica"/>
                <w:b/>
                <w:color w:val="2F5D8A"/>
                <w:sz w:val="19"/>
              </w:rPr>
              <w:t>EFFECTIVE:</w:t>
            </w:r>
          </w:p>
        </w:tc>
        <w:tc>
          <w:tcPr>
            <w:tcW w:type="dxa" w:w="7344"/>
            <w:tcMar>
              <w:top w:w="60" w:type="dxa"/>
              <w:bottom w:w="60" w:type="dxa"/>
              <w:left w:w="0" w:type="dxa"/>
              <w:right w:w="140" w:type="dxa"/>
            </w:tcMar>
            <w:tcBorders>
              <w:top w:val="nil"/>
              <w:left w:val="nil"/>
              <w:bottom w:val="single" w:sz="6" w:space="0" w:color="C9D2E0"/>
              <w:right w:val="nil"/>
            </w:tcBorders>
          </w:tcPr>
          <w:p>
            <w:pPr>
              <w:spacing w:after="40" w:before="40" w:line="276" w:lineRule="auto"/>
            </w:pPr>
            <w:r>
              <w:rPr>
                <w:rFonts w:ascii="Helvetica" w:hAnsi="Helvetica" w:cs="Helvetica"/>
                <w:color w:val="22262E"/>
                <w:sz w:val="21"/>
              </w:rPr>
              <w:t>07/01/2026</w:t>
            </w:r>
          </w:p>
        </w:tc>
      </w:tr>
      <w:tr>
        <w:tc>
          <w:tcPr>
            <w:tcW w:type="dxa" w:w="2016"/>
            <w:tcMar>
              <w:top w:w="60" w:type="dxa"/>
              <w:bottom w:w="60" w:type="dxa"/>
              <w:left w:w="0" w:type="dxa"/>
              <w:right w:w="140" w:type="dxa"/>
            </w:tcMar>
            <w:tcBorders>
              <w:top w:val="nil"/>
              <w:left w:val="nil"/>
              <w:bottom w:val="single" w:sz="6" w:space="0" w:color="C9D2E0"/>
              <w:right w:val="nil"/>
            </w:tcBorders>
          </w:tcPr>
          <w:p>
            <w:pPr>
              <w:spacing w:after="40" w:before="40" w:line="276" w:lineRule="auto"/>
            </w:pPr>
            <w:r>
              <w:rPr>
                <w:rFonts w:ascii="Helvetica" w:hAnsi="Helvetica" w:cs="Helvetica"/>
                <w:b/>
                <w:color w:val="2F5D8A"/>
                <w:sz w:val="19"/>
              </w:rPr>
              <w:t>RE:</w:t>
            </w:r>
          </w:p>
        </w:tc>
        <w:tc>
          <w:tcPr>
            <w:tcW w:type="dxa" w:w="7344"/>
            <w:tcMar>
              <w:top w:w="60" w:type="dxa"/>
              <w:bottom w:w="60" w:type="dxa"/>
              <w:left w:w="0" w:type="dxa"/>
              <w:right w:w="140" w:type="dxa"/>
            </w:tcMar>
            <w:tcBorders>
              <w:top w:val="nil"/>
              <w:left w:val="nil"/>
              <w:bottom w:val="single" w:sz="6" w:space="0" w:color="C9D2E0"/>
              <w:right w:val="nil"/>
            </w:tcBorders>
          </w:tcPr>
          <w:p>
            <w:pPr>
              <w:spacing w:after="40" w:before="40" w:line="276" w:lineRule="auto"/>
            </w:pPr>
            <w:r>
              <w:rPr>
                <w:rFonts w:ascii="Helvetica" w:hAnsi="Helvetica" w:cs="Helvetica"/>
                <w:color w:val="22262E"/>
                <w:sz w:val="21"/>
              </w:rPr>
              <w:t>Paid Time Off — Policy Cutover Memo</w:t>
            </w:r>
          </w:p>
        </w:tc>
      </w:tr>
    </w:tbl>
    <w:p>
      <w:pPr>
        <w:spacing w:before="0" w:after="200" w:line="240" w:lineRule="auto"/>
        <w:pBdr>
          <w:bottom w:val="single" w:sz="6" w:space="1" w:color="000000"/>
        </w:pBdr>
      </w:pPr>
    </w:p>
    <w:p>
      <w:pPr>
        <w:spacing w:after="200" w:before="0" w:line="317" w:lineRule="auto"/>
        <w:jc w:val="both"/>
      </w:pPr>
      <w:r>
        <w:rPr>
          <w:rFonts w:ascii="Helvetica" w:hAnsi="Helvetica" w:cs="Helvetica"/>
          <w:color w:val="22262E"/>
          <w:sz w:val="21"/>
        </w:rPr>
        <w:t>This memo sets the paid time off (PTO) rules that will govern Troutly Analytics beginning on the payroll cutover date. It is being issued alongside the payroll frequency change and the migration of our HR and payroll system of record to BambooHR. Managers should read it in full and be prepared to answer questions from their teams before the first biweekly pay period begins.</w:t>
      </w:r>
    </w:p>
    <w:p>
      <w:pPr>
        <w:keepNext/>
        <w:spacing w:before="240" w:after="80" w:line="264" w:lineRule="auto"/>
      </w:pPr>
      <w:r>
        <w:rPr>
          <w:rFonts w:ascii="Helvetica" w:hAnsi="Helvetica" w:cs="Helvetica"/>
          <w:b/>
          <w:color w:val="1F2A44"/>
          <w:sz w:val="27"/>
        </w:rPr>
        <w:t>1. Effective date and replacement</w:t>
      </w:r>
    </w:p>
    <w:p>
      <w:pPr>
        <w:spacing w:after="160" w:before="0" w:line="317" w:lineRule="auto"/>
        <w:jc w:val="both"/>
      </w:pPr>
      <w:r>
        <w:rPr>
          <w:rFonts w:ascii="Helvetica" w:hAnsi="Helvetica" w:cs="Helvetica"/>
          <w:color w:val="22262E"/>
          <w:sz w:val="21"/>
        </w:rPr>
        <w:t>This memo replaces the 2025 PTO policy effective 07/01/2026. From that date forward, the terms below govern accrual, carryover, tier assignment, valuation, and payout of PTO for every regular employee of Troutly Analytics, Inc. Any prior handbook language, wiki page, or informal guidance to the contrary is superseded. The dated memo governs the handbook section it replaces; wiki pages remain informational and do not set policy.</w:t>
      </w:r>
    </w:p>
    <w:p>
      <w:pPr>
        <w:keepNext/>
        <w:spacing w:before="240" w:after="80" w:line="264" w:lineRule="auto"/>
      </w:pPr>
      <w:r>
        <w:rPr>
          <w:rFonts w:ascii="Helvetica" w:hAnsi="Helvetica" w:cs="Helvetica"/>
          <w:b/>
          <w:color w:val="1F2A44"/>
          <w:sz w:val="27"/>
        </w:rPr>
        <w:t>2. Accrual and tiers</w:t>
      </w:r>
    </w:p>
    <w:p>
      <w:pPr>
        <w:spacing w:after="160" w:before="0" w:line="317" w:lineRule="auto"/>
        <w:jc w:val="both"/>
      </w:pPr>
      <w:r>
        <w:rPr>
          <w:rFonts w:ascii="Helvetica" w:hAnsi="Helvetica" w:cs="Helvetica"/>
          <w:color w:val="22262E"/>
          <w:sz w:val="21"/>
        </w:rPr>
        <w:t>Annual PTO accrual is set by tier, based on each employee's adjusted service date as recorded in the payroll system of record. The tiers are:</w:t>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040"/>
        <w:gridCol w:w="2880"/>
      </w:tblGrid>
      <w:tr>
        <w:tc>
          <w:tcPr>
            <w:tcW w:type="dxa" w:w="5760"/>
            <w:vAlign w:val="center"/>
            <w:tcBorders>
              <w:top w:val="single" w:sz="4" w:color="000000"/>
              <w:left w:val="single" w:sz="4" w:color="000000"/>
              <w:bottom w:val="single" w:sz="4" w:color="000000"/>
              <w:right w:val="single" w:sz="4" w:color="000000"/>
            </w:tcBorders>
            <w:tcMar>
              <w:top w:w="90" w:type="dxa"/>
              <w:bottom w:w="90" w:type="dxa"/>
              <w:left w:w="140" w:type="dxa"/>
              <w:right w:w="140" w:type="dxa"/>
            </w:tcMar>
            <w:shd w:val="clear" w:color="auto" w:fill="1F2A44"/>
            <w:tcBorders>
              <w:top w:val="nil"/>
              <w:left w:val="nil"/>
              <w:bottom w:val="single" w:sz="12" w:space="0" w:color="1F2A44"/>
              <w:right w:val="nil"/>
            </w:tcBorders>
          </w:tcPr>
          <w:p>
            <w:pPr>
              <w:spacing w:after="40" w:before="40" w:line="276" w:lineRule="auto"/>
              <w:jc w:val="left"/>
              <w:rPr>
                <w:color w:val="FFFFFF"/>
              </w:rPr>
            </w:pPr>
            <w:r>
              <w:rPr>
                <w:rFonts w:ascii="Helvetica" w:hAnsi="Helvetica" w:cs="Helvetica"/>
                <w:b/>
                <w:color w:val="FFFFFF"/>
                <w:sz w:val="21"/>
              </w:rPr>
              <w:t>Tier (by adjusted service date)</w:t>
            </w:r>
          </w:p>
        </w:tc>
        <w:tc>
          <w:tcPr>
            <w:tcW w:type="dxa" w:w="3600"/>
            <w:vAlign w:val="center"/>
            <w:tcBorders>
              <w:top w:val="single" w:sz="4" w:color="000000"/>
              <w:left w:val="single" w:sz="4" w:color="000000"/>
              <w:bottom w:val="single" w:sz="4" w:color="000000"/>
              <w:right w:val="single" w:sz="4" w:color="000000"/>
            </w:tcBorders>
            <w:tcMar>
              <w:top w:w="90" w:type="dxa"/>
              <w:bottom w:w="90" w:type="dxa"/>
              <w:left w:w="140" w:type="dxa"/>
              <w:right w:w="140" w:type="dxa"/>
            </w:tcMar>
            <w:shd w:val="clear" w:color="auto" w:fill="1F2A44"/>
            <w:tcBorders>
              <w:top w:val="nil"/>
              <w:left w:val="nil"/>
              <w:bottom w:val="single" w:sz="12" w:space="0" w:color="1F2A44"/>
              <w:right w:val="nil"/>
            </w:tcBorders>
          </w:tcPr>
          <w:p>
            <w:pPr>
              <w:spacing w:after="40" w:before="40" w:line="276" w:lineRule="auto"/>
              <w:jc w:val="right"/>
              <w:rPr>
                <w:color w:val="FFFFFF"/>
              </w:rPr>
            </w:pPr>
            <w:r>
              <w:rPr>
                <w:rFonts w:ascii="Helvetica" w:hAnsi="Helvetica" w:cs="Helvetica"/>
                <w:b/>
                <w:color w:val="FFFFFF"/>
                <w:sz w:val="21"/>
              </w:rPr>
              <w:t>Annual accrual</w:t>
            </w:r>
          </w:p>
        </w:tc>
      </w:tr>
      <w:tr>
        <w:tc>
          <w:tcPr>
            <w:tcW w:type="dxa" w:w="5760"/>
            <w:vAlign w:val="center"/>
            <w:tcBorders>
              <w:top w:val="single" w:sz="4" w:color="000000"/>
              <w:left w:val="single" w:sz="4" w:color="000000"/>
              <w:bottom w:val="single" w:sz="4" w:color="000000"/>
              <w:right w:val="single" w:sz="4" w:color="000000"/>
            </w:tcBorders>
            <w:tcMar>
              <w:top w:w="90" w:type="dxa"/>
              <w:bottom w:w="90" w:type="dxa"/>
              <w:left w:w="140" w:type="dxa"/>
              <w:right w:w="140" w:type="dxa"/>
            </w:tcMar>
            <w:tcBorders>
              <w:top w:val="nil"/>
              <w:left w:val="nil"/>
              <w:bottom w:val="single" w:sz="4" w:space="0" w:color="C9D2E0"/>
              <w:right w:val="nil"/>
            </w:tcBorders>
          </w:tcPr>
          <w:p>
            <w:pPr>
              <w:spacing w:after="40" w:before="40" w:line="288" w:lineRule="auto"/>
              <w:jc w:val="left"/>
            </w:pPr>
            <w:r>
              <w:rPr>
                <w:rFonts w:ascii="Helvetica" w:hAnsi="Helvetica" w:cs="Helvetica"/>
                <w:color w:val="22262E"/>
                <w:sz w:val="21"/>
              </w:rPr>
              <w:t>Under 2 years</w:t>
            </w:r>
          </w:p>
        </w:tc>
        <w:tc>
          <w:tcPr>
            <w:tcW w:type="dxa" w:w="3600"/>
            <w:vAlign w:val="center"/>
            <w:tcBorders>
              <w:top w:val="single" w:sz="4" w:color="000000"/>
              <w:left w:val="single" w:sz="4" w:color="000000"/>
              <w:bottom w:val="single" w:sz="4" w:color="000000"/>
              <w:right w:val="single" w:sz="4" w:color="000000"/>
            </w:tcBorders>
            <w:tcMar>
              <w:top w:w="90" w:type="dxa"/>
              <w:bottom w:w="90" w:type="dxa"/>
              <w:left w:w="140" w:type="dxa"/>
              <w:right w:w="140" w:type="dxa"/>
            </w:tcMar>
            <w:tcBorders>
              <w:top w:val="nil"/>
              <w:left w:val="nil"/>
              <w:bottom w:val="single" w:sz="4" w:space="0" w:color="C9D2E0"/>
              <w:right w:val="nil"/>
            </w:tcBorders>
          </w:tcPr>
          <w:p>
            <w:pPr>
              <w:spacing w:after="40" w:before="40" w:line="288" w:lineRule="auto"/>
              <w:jc w:val="right"/>
            </w:pPr>
            <w:r>
              <w:rPr>
                <w:rFonts w:ascii="Helvetica" w:hAnsi="Helvetica" w:cs="Helvetica"/>
                <w:b/>
                <w:color w:val="2F5D8A"/>
                <w:sz w:val="21"/>
              </w:rPr>
              <w:t>80 hours/year</w:t>
            </w:r>
          </w:p>
        </w:tc>
      </w:tr>
      <w:tr>
        <w:tc>
          <w:tcPr>
            <w:tcW w:type="dxa" w:w="5760"/>
            <w:vAlign w:val="center"/>
            <w:tcBorders>
              <w:top w:val="single" w:sz="4" w:color="000000"/>
              <w:left w:val="single" w:sz="4" w:color="000000"/>
              <w:bottom w:val="single" w:sz="4" w:color="000000"/>
              <w:right w:val="single" w:sz="4" w:color="000000"/>
            </w:tcBorders>
            <w:tcMar>
              <w:top w:w="90" w:type="dxa"/>
              <w:bottom w:w="90" w:type="dxa"/>
              <w:left w:w="140" w:type="dxa"/>
              <w:right w:w="140" w:type="dxa"/>
            </w:tcMar>
            <w:shd w:val="clear" w:color="auto" w:fill="F2F4F8"/>
            <w:tcBorders>
              <w:top w:val="nil"/>
              <w:left w:val="nil"/>
              <w:bottom w:val="single" w:sz="4" w:space="0" w:color="C9D2E0"/>
              <w:right w:val="nil"/>
            </w:tcBorders>
          </w:tcPr>
          <w:p>
            <w:pPr>
              <w:spacing w:after="40" w:before="40" w:line="288" w:lineRule="auto"/>
              <w:jc w:val="left"/>
            </w:pPr>
            <w:r>
              <w:rPr>
                <w:rFonts w:ascii="Helvetica" w:hAnsi="Helvetica" w:cs="Helvetica"/>
                <w:color w:val="22262E"/>
                <w:sz w:val="21"/>
              </w:rPr>
              <w:t>2 years to under 5 years</w:t>
            </w:r>
          </w:p>
        </w:tc>
        <w:tc>
          <w:tcPr>
            <w:tcW w:type="dxa" w:w="3600"/>
            <w:vAlign w:val="center"/>
            <w:tcBorders>
              <w:top w:val="single" w:sz="4" w:color="000000"/>
              <w:left w:val="single" w:sz="4" w:color="000000"/>
              <w:bottom w:val="single" w:sz="4" w:color="000000"/>
              <w:right w:val="single" w:sz="4" w:color="000000"/>
            </w:tcBorders>
            <w:tcMar>
              <w:top w:w="90" w:type="dxa"/>
              <w:bottom w:w="90" w:type="dxa"/>
              <w:left w:w="140" w:type="dxa"/>
              <w:right w:w="140" w:type="dxa"/>
            </w:tcMar>
            <w:shd w:val="clear" w:color="auto" w:fill="F2F4F8"/>
            <w:tcBorders>
              <w:top w:val="nil"/>
              <w:left w:val="nil"/>
              <w:bottom w:val="single" w:sz="4" w:space="0" w:color="C9D2E0"/>
              <w:right w:val="nil"/>
            </w:tcBorders>
          </w:tcPr>
          <w:p>
            <w:pPr>
              <w:spacing w:after="40" w:before="40" w:line="288" w:lineRule="auto"/>
              <w:jc w:val="right"/>
            </w:pPr>
            <w:r>
              <w:rPr>
                <w:rFonts w:ascii="Helvetica" w:hAnsi="Helvetica" w:cs="Helvetica"/>
                <w:b/>
                <w:color w:val="2F5D8A"/>
                <w:sz w:val="21"/>
              </w:rPr>
              <w:t>120 hours/year</w:t>
            </w:r>
          </w:p>
        </w:tc>
      </w:tr>
      <w:tr>
        <w:tc>
          <w:tcPr>
            <w:tcW w:type="dxa" w:w="5760"/>
            <w:vAlign w:val="center"/>
            <w:tcBorders>
              <w:top w:val="single" w:sz="4" w:color="000000"/>
              <w:left w:val="single" w:sz="4" w:color="000000"/>
              <w:bottom w:val="single" w:sz="4" w:color="000000"/>
              <w:right w:val="single" w:sz="4" w:color="000000"/>
            </w:tcBorders>
            <w:tcMar>
              <w:top w:w="90" w:type="dxa"/>
              <w:bottom w:w="90" w:type="dxa"/>
              <w:left w:w="140" w:type="dxa"/>
              <w:right w:w="140" w:type="dxa"/>
            </w:tcMar>
            <w:tcBorders>
              <w:top w:val="nil"/>
              <w:left w:val="nil"/>
              <w:bottom w:val="single" w:sz="4" w:space="0" w:color="C9D2E0"/>
              <w:right w:val="nil"/>
            </w:tcBorders>
          </w:tcPr>
          <w:p>
            <w:pPr>
              <w:spacing w:after="40" w:before="40" w:line="288" w:lineRule="auto"/>
              <w:jc w:val="left"/>
            </w:pPr>
            <w:r>
              <w:rPr>
                <w:rFonts w:ascii="Helvetica" w:hAnsi="Helvetica" w:cs="Helvetica"/>
                <w:color w:val="22262E"/>
                <w:sz w:val="21"/>
              </w:rPr>
              <w:t>5 years and over</w:t>
            </w:r>
          </w:p>
        </w:tc>
        <w:tc>
          <w:tcPr>
            <w:tcW w:type="dxa" w:w="3600"/>
            <w:vAlign w:val="center"/>
            <w:tcBorders>
              <w:top w:val="single" w:sz="4" w:color="000000"/>
              <w:left w:val="single" w:sz="4" w:color="000000"/>
              <w:bottom w:val="single" w:sz="4" w:color="000000"/>
              <w:right w:val="single" w:sz="4" w:color="000000"/>
            </w:tcBorders>
            <w:tcMar>
              <w:top w:w="90" w:type="dxa"/>
              <w:bottom w:w="90" w:type="dxa"/>
              <w:left w:w="140" w:type="dxa"/>
              <w:right w:w="140" w:type="dxa"/>
            </w:tcMar>
            <w:tcBorders>
              <w:top w:val="nil"/>
              <w:left w:val="nil"/>
              <w:bottom w:val="single" w:sz="4" w:space="0" w:color="C9D2E0"/>
              <w:right w:val="nil"/>
            </w:tcBorders>
          </w:tcPr>
          <w:p>
            <w:pPr>
              <w:spacing w:after="40" w:before="40" w:line="288" w:lineRule="auto"/>
              <w:jc w:val="right"/>
            </w:pPr>
            <w:r>
              <w:rPr>
                <w:rFonts w:ascii="Helvetica" w:hAnsi="Helvetica" w:cs="Helvetica"/>
                <w:b/>
                <w:color w:val="2F5D8A"/>
                <w:sz w:val="21"/>
              </w:rPr>
              <w:t>160 hours/year</w:t>
            </w:r>
          </w:p>
        </w:tc>
      </w:tr>
    </w:tbl>
    <w:p>
      <w:pPr>
        <w:spacing w:after="120"/>
      </w:pPr>
    </w:p>
    <w:p>
      <w:pPr>
        <w:spacing w:after="160" w:before="0" w:line="317" w:lineRule="auto"/>
        <w:jc w:val="both"/>
      </w:pPr>
      <w:r>
        <w:rPr>
          <w:rFonts w:ascii="Helvetica" w:hAnsi="Helvetica" w:cs="Helvetica"/>
          <w:color w:val="22262E"/>
          <w:sz w:val="21"/>
        </w:rPr>
        <w:t>From 07/01/2026, PTO accrues per BIWEEKLY PAY PERIOD at the annual tier divided by 26, instead of monthly on the 1st. Accrual posts to each employee's balance on the pay date for the period in which it was earned. Per-period accrual is carried to four decimal places in the system; posted balances are carried to two decimals.</w:t>
      </w:r>
    </w:p>
    <w:p>
      <w:pPr>
        <w:spacing w:after="160" w:before="0" w:line="317" w:lineRule="auto"/>
        <w:jc w:val="both"/>
      </w:pPr>
      <w:r>
        <w:rPr>
          <w:rFonts w:ascii="Helvetica" w:hAnsi="Helvetica" w:cs="Helvetica"/>
          <w:color w:val="22262E"/>
          <w:sz w:val="21"/>
        </w:rPr>
        <w:t>Carryover into the new system is capped at 40.0 hours as of 06/30/2026; the excess is forfeited. The capped opening balance becomes the starting balance under the biweekly accrual schedule described above; any hours on the books above the cap on 06/30/2026 will not carry over into the new system.</w:t>
      </w:r>
    </w:p>
    <w:p>
      <w:pPr>
        <w:keepNext/>
        <w:spacing w:before="240" w:after="80" w:line="264" w:lineRule="auto"/>
      </w:pPr>
      <w:r>
        <w:rPr>
          <w:rFonts w:ascii="Helvetica" w:hAnsi="Helvetica" w:cs="Helvetica"/>
          <w:b/>
          <w:color w:val="1F2A44"/>
          <w:sz w:val="27"/>
        </w:rPr>
        <w:t>3. Tier change timing and measurement</w:t>
      </w:r>
    </w:p>
    <w:p>
      <w:pPr>
        <w:spacing w:after="160" w:before="0" w:line="317" w:lineRule="auto"/>
        <w:jc w:val="both"/>
      </w:pPr>
      <w:r>
        <w:rPr>
          <w:rFonts w:ascii="Helvetica" w:hAnsi="Helvetica" w:cs="Helvetica"/>
          <w:color w:val="22262E"/>
          <w:sz w:val="21"/>
        </w:rPr>
        <w:t>A tier change takes effect in the pay period that contains the employee's service anniversary. PTO liability is measured at the tier in effect on the measurement date. The adjusted service date on file governs which tier applies; where an employee has had a break in service, the rehire bridging rule in the handbook determines whether service bridges or resets. Managers should not adjust a service date without written confirmation from People Operations.</w:t>
      </w:r>
    </w:p>
    <w:p>
      <w:pPr>
        <w:keepNext/>
        <w:spacing w:before="240" w:after="80" w:line="264" w:lineRule="auto"/>
      </w:pPr>
      <w:r>
        <w:rPr>
          <w:rFonts w:ascii="Helvetica" w:hAnsi="Helvetica" w:cs="Helvetica"/>
          <w:b/>
          <w:color w:val="1F2A44"/>
          <w:sz w:val="27"/>
        </w:rPr>
        <w:t>4. Valuation</w:t>
      </w:r>
    </w:p>
    <w:p>
      <w:pPr>
        <w:spacing w:after="160" w:before="0" w:line="317" w:lineRule="auto"/>
        <w:jc w:val="both"/>
      </w:pPr>
      <w:r>
        <w:rPr>
          <w:rFonts w:ascii="Helvetica" w:hAnsi="Helvetica" w:cs="Helvetica"/>
          <w:color w:val="22262E"/>
          <w:sz w:val="21"/>
        </w:rPr>
        <w:t>Balances are valued at the employee's current hourly rate, defined as the annual pay rate recorded in the payroll system of record on the measurement date divided by 2,080. The hourly rate is carried to four decimal places for computation and reported to the cent on any per-employee dollar figure. The pay rate used is the rate on file as of the measurement date; retroactive rate changes take effect only when the underlying signed change is recorded. PTO liability is measured only for employees whose employment is active as of the measurement date; employees whose employment ended on or before the measurement date are excluded from the liability calculation.</w:t>
      </w:r>
    </w:p>
    <w:p>
      <w:pPr>
        <w:keepNext/>
        <w:spacing w:before="240" w:after="80" w:line="264" w:lineRule="auto"/>
      </w:pPr>
      <w:r>
        <w:rPr>
          <w:rFonts w:ascii="Helvetica" w:hAnsi="Helvetica" w:cs="Helvetica"/>
          <w:b/>
          <w:color w:val="1F2A44"/>
          <w:sz w:val="27"/>
        </w:rPr>
        <w:t>5. Payout at separation</w:t>
      </w:r>
    </w:p>
    <w:p>
      <w:pPr>
        <w:spacing w:after="160" w:before="0" w:line="317" w:lineRule="auto"/>
        <w:jc w:val="both"/>
      </w:pPr>
      <w:r>
        <w:rPr>
          <w:rFonts w:ascii="Helvetica" w:hAnsi="Helvetica" w:cs="Helvetica"/>
          <w:color w:val="22262E"/>
          <w:sz w:val="21"/>
        </w:rPr>
        <w:t>Accrued PTO is paid at separation only with 14 calendar days written notice AND working through the notice period. Where either condition is not met, no PTO payout is owed. Written notice must be submitted to the employee's manager and to People Operations, and the notice period must be worked in full unless the Head of People and the CEO jointly approve an exception in writing. This condition is consistent with Texas Labor Code chapter 61, which requires accrued leave to be paid at separation only where a written policy so provides.</w:t>
      </w:r>
    </w:p>
    <w:p>
      <w:pPr>
        <w:spacing w:after="160" w:before="0" w:line="317" w:lineRule="auto"/>
        <w:jc w:val="both"/>
      </w:pPr>
      <w:r>
        <w:rPr>
          <w:rFonts w:ascii="Helvetica" w:hAnsi="Helvetica" w:cs="Helvetica"/>
          <w:color w:val="22262E"/>
          <w:sz w:val="21"/>
        </w:rPr>
        <w:t>Questions on the mechanics of accrual, tier assignment, valuation, or payout should be directed to the People Operations team. Manager exceptions may not be granted informally; every exception must be documented and countersigned by the CEO or CTO.</w:t>
      </w:r>
    </w:p>
    <w:p>
      <w:pPr>
        <w:keepNext/>
        <w:spacing w:before="240" w:after="80" w:line="264" w:lineRule="auto"/>
      </w:pPr>
      <w:r>
        <w:rPr>
          <w:rFonts w:ascii="Helvetica" w:hAnsi="Helvetica" w:cs="Helvetica"/>
          <w:b/>
          <w:color w:val="1F2A44"/>
          <w:sz w:val="27"/>
        </w:rPr>
        <w:t>6. Signature</w:t>
      </w:r>
    </w:p>
    <w:p>
      <w:pPr>
        <w:spacing w:after="40" w:before="200" w:line="288" w:lineRule="auto"/>
      </w:pPr>
      <w:r>
        <w:rPr>
          <w:rFonts w:ascii="Helvetica" w:hAnsi="Helvetica" w:cs="Helvetica"/>
          <w:i/>
          <w:color w:val="5B6373"/>
          <w:sz w:val="21"/>
        </w:rPr>
        <w:t>/s/ Michael Labeson</w:t>
      </w:r>
    </w:p>
    <w:p>
      <w:pPr>
        <w:spacing w:after="40" w:before="0" w:line="240" w:lineRule="auto"/>
      </w:pPr>
    </w:p>
    <w:p>
      <w:pPr>
        <w:spacing w:after="0" w:before="40" w:line="288" w:lineRule="auto"/>
      </w:pPr>
      <w:r>
        <w:rPr>
          <w:rFonts w:ascii="Helvetica" w:hAnsi="Helvetica" w:cs="Helvetica"/>
          <w:b/>
          <w:color w:val="1F2A44"/>
          <w:sz w:val="23"/>
        </w:rPr>
        <w:t>Michael Labeson</w:t>
      </w:r>
    </w:p>
    <w:p>
      <w:pPr>
        <w:spacing w:after="0" w:before="0" w:line="288" w:lineRule="auto"/>
      </w:pPr>
      <w:r>
        <w:rPr>
          <w:rFonts w:ascii="Helvetica" w:hAnsi="Helvetica" w:cs="Helvetica"/>
          <w:color w:val="2F5D8A"/>
          <w:sz w:val="20"/>
        </w:rPr>
        <w:t>Chief Executive Officer</w:t>
      </w:r>
    </w:p>
    <w:p>
      <w:pPr>
        <w:spacing w:after="0" w:before="0" w:line="288" w:lineRule="auto"/>
      </w:pPr>
      <w:r>
        <w:rPr>
          <w:rFonts w:ascii="Helvetica" w:hAnsi="Helvetica" w:cs="Helvetica"/>
          <w:color w:val="5B6373"/>
          <w:sz w:val="20"/>
        </w:rPr>
        <w:t>Troutly Analytics, Inc.</w:t>
      </w:r>
    </w:p>
    <w:p>
      <w:pPr>
        <w:spacing w:after="0" w:before="0" w:line="288" w:lineRule="auto"/>
      </w:pPr>
      <w:r>
        <w:rPr>
          <w:rFonts w:ascii="Helvetica" w:hAnsi="Helvetica" w:cs="Helvetica"/>
          <w:color w:val="5B6373"/>
          <w:sz w:val="20"/>
        </w:rPr>
        <w:t>06/20/2026</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cs="Helvetica"/>
      <w:color w:val="2226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cp:revision>
  <cp:category/>
  <dc:creator xmlns:dc="http://purl.org/dc/elements/1.1/">Michael Labeson</dc:creator>
  <cp:lastModifiedBy>Michael Labeson</cp:lastModifiedBy>
</cp:coreProperties>
</file>