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120" w:line="240" w:lineRule="auto"/>
        <w:jc w:val="left"/>
        <w:pBdr>
          <w:bottom w:val="single" w:sz="18" w:space="6" w:color="1A2A6B"/>
        </w:pBdr>
      </w:pPr>
      <w:r>
        <w:rPr>
          <w:rFonts w:ascii="Helvetica" w:hAnsi="Helvetica" w:cs="Helvetica"/>
          <w:b/>
          <w:color w:val="1A2A6B"/>
          <w:sz w:val="60"/>
          <w:spacing w:val="80"/>
          <w:caps w:val="true"/>
        </w:rPr>
        <w:t>MEMORANDUM</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1296"/>
        <w:gridCol w:w="8064"/>
      </w:tblGrid>
      <w:tr>
        <w:tc>
          <w:tcPr>
            <w:tcW w:type="dxa" w:w="1584"/>
            <w:tcBorders>
              <w:bottom w:val="single" w:sz="4" w:space="0" w:color="C9CDD6"/>
            </w:tcBorders>
            <w:vAlign w:val="top"/>
            <w:tcMar>
              <w:top w:w="80" w:type="dxa"/>
              <w:bottom w:w="80" w:type="dxa"/>
              <w:start w:w="0" w:type="dxa"/>
              <w:end w:w="160" w:type="dxa"/>
              <w:left w:w="0" w:type="dxa"/>
              <w:right w:w="160" w:type="dxa"/>
            </w:tcMar>
            <w:shd w:val="clear" w:color="auto" w:fill="F4F6FB"/>
          </w:tcPr>
          <w:p>
            <w:pPr>
              <w:spacing w:after="0" w:before="0" w:line="312" w:lineRule="auto"/>
            </w:pPr>
            <w:r>
              <w:rPr>
                <w:rFonts w:ascii="Helvetica" w:hAnsi="Helvetica" w:cs="Helvetica"/>
                <w:b/>
                <w:color w:val="4C5FB5"/>
                <w:sz w:val="18"/>
                <w:spacing w:val="60"/>
                <w:caps w:val="true"/>
              </w:rPr>
              <w:t>TO:</w:t>
            </w:r>
          </w:p>
        </w:tc>
        <w:tc>
          <w:tcPr>
            <w:tcW w:type="dxa" w:w="7776"/>
            <w:tcBorders>
              <w:bottom w:val="single" w:sz="4" w:space="0" w:color="C9CDD6"/>
            </w:tcBorders>
            <w:vAlign w:val="top"/>
            <w:tcMar>
              <w:top w:w="80" w:type="dxa"/>
              <w:bottom w:w="80" w:type="dxa"/>
              <w:start w:w="0" w:type="dxa"/>
              <w:end w:w="160" w:type="dxa"/>
              <w:left w:w="0" w:type="dxa"/>
              <w:right w:w="160" w:type="dxa"/>
            </w:tcMar>
          </w:tcPr>
          <w:p>
            <w:pPr>
              <w:spacing w:after="0" w:before="0" w:line="312" w:lineRule="auto"/>
            </w:pPr>
            <w:r>
              <w:rPr>
                <w:rFonts w:ascii="Helvetica" w:hAnsi="Helvetica" w:cs="Helvetica"/>
                <w:color w:val="1F2128"/>
                <w:sz w:val="21"/>
              </w:rPr>
              <w:t>Michael Labeson, Chief Executive Officer</w:t>
            </w:r>
          </w:p>
          <w:p>
            <w:pPr>
              <w:spacing w:after="0" w:before="0" w:line="312" w:lineRule="auto"/>
            </w:pPr>
            <w:r>
              <w:rPr>
                <w:rFonts w:ascii="Helvetica" w:hAnsi="Helvetica" w:cs="Helvetica"/>
                <w:color w:val="1F2128"/>
                <w:sz w:val="21"/>
              </w:rPr>
              <w:t>Krystale Jumawan, Finance Manager</w:t>
            </w:r>
          </w:p>
        </w:tc>
      </w:tr>
      <w:tr>
        <w:tc>
          <w:tcPr>
            <w:tcW w:type="dxa" w:w="1584"/>
            <w:tcBorders>
              <w:bottom w:val="single" w:sz="4" w:space="0" w:color="C9CDD6"/>
            </w:tcBorders>
            <w:vAlign w:val="top"/>
            <w:tcMar>
              <w:top w:w="80" w:type="dxa"/>
              <w:bottom w:w="80" w:type="dxa"/>
              <w:start w:w="0" w:type="dxa"/>
              <w:end w:w="160" w:type="dxa"/>
              <w:left w:w="0" w:type="dxa"/>
              <w:right w:w="160" w:type="dxa"/>
            </w:tcMar>
            <w:shd w:val="clear" w:color="auto" w:fill="F4F6FB"/>
          </w:tcPr>
          <w:p>
            <w:pPr>
              <w:spacing w:after="0" w:before="0" w:line="312" w:lineRule="auto"/>
            </w:pPr>
            <w:r>
              <w:rPr>
                <w:rFonts w:ascii="Helvetica" w:hAnsi="Helvetica" w:cs="Helvetica"/>
                <w:b/>
                <w:color w:val="4C5FB5"/>
                <w:sz w:val="18"/>
                <w:spacing w:val="60"/>
                <w:caps w:val="true"/>
              </w:rPr>
              <w:t>FROM:</w:t>
            </w:r>
          </w:p>
        </w:tc>
        <w:tc>
          <w:tcPr>
            <w:tcW w:type="dxa" w:w="7776"/>
            <w:tcBorders>
              <w:bottom w:val="single" w:sz="4" w:space="0" w:color="C9CDD6"/>
            </w:tcBorders>
            <w:vAlign w:val="top"/>
            <w:tcMar>
              <w:top w:w="80" w:type="dxa"/>
              <w:bottom w:w="80" w:type="dxa"/>
              <w:start w:w="0" w:type="dxa"/>
              <w:end w:w="160" w:type="dxa"/>
              <w:left w:w="0" w:type="dxa"/>
              <w:right w:w="160" w:type="dxa"/>
            </w:tcMar>
          </w:tcPr>
          <w:p>
            <w:pPr>
              <w:spacing w:after="0" w:before="0" w:line="312" w:lineRule="auto"/>
            </w:pPr>
            <w:r>
              <w:rPr>
                <w:rFonts w:ascii="Helvetica" w:hAnsi="Helvetica" w:cs="Helvetica"/>
                <w:color w:val="1F2128"/>
                <w:sz w:val="21"/>
              </w:rPr>
              <w:t>Grayson Oshimoto, Office Manager</w:t>
            </w:r>
          </w:p>
        </w:tc>
      </w:tr>
      <w:tr>
        <w:tc>
          <w:tcPr>
            <w:tcW w:type="dxa" w:w="1584"/>
            <w:tcBorders>
              <w:bottom w:val="single" w:sz="4" w:space="0" w:color="C9CDD6"/>
            </w:tcBorders>
            <w:vAlign w:val="top"/>
            <w:tcMar>
              <w:top w:w="80" w:type="dxa"/>
              <w:bottom w:w="80" w:type="dxa"/>
              <w:start w:w="0" w:type="dxa"/>
              <w:end w:w="160" w:type="dxa"/>
              <w:left w:w="0" w:type="dxa"/>
              <w:right w:w="160" w:type="dxa"/>
            </w:tcMar>
            <w:shd w:val="clear" w:color="auto" w:fill="F4F6FB"/>
          </w:tcPr>
          <w:p>
            <w:pPr>
              <w:spacing w:after="0" w:before="0" w:line="312" w:lineRule="auto"/>
            </w:pPr>
            <w:r>
              <w:rPr>
                <w:rFonts w:ascii="Helvetica" w:hAnsi="Helvetica" w:cs="Helvetica"/>
                <w:b/>
                <w:color w:val="4C5FB5"/>
                <w:sz w:val="18"/>
                <w:spacing w:val="60"/>
                <w:caps w:val="true"/>
              </w:rPr>
              <w:t>DATE:</w:t>
            </w:r>
          </w:p>
        </w:tc>
        <w:tc>
          <w:tcPr>
            <w:tcW w:type="dxa" w:w="7776"/>
            <w:tcBorders>
              <w:bottom w:val="single" w:sz="4" w:space="0" w:color="C9CDD6"/>
            </w:tcBorders>
            <w:vAlign w:val="top"/>
            <w:tcMar>
              <w:top w:w="80" w:type="dxa"/>
              <w:bottom w:w="80" w:type="dxa"/>
              <w:start w:w="0" w:type="dxa"/>
              <w:end w:w="160" w:type="dxa"/>
              <w:left w:w="0" w:type="dxa"/>
              <w:right w:w="160" w:type="dxa"/>
            </w:tcMar>
          </w:tcPr>
          <w:p>
            <w:pPr>
              <w:spacing w:after="0" w:before="0" w:line="312" w:lineRule="auto"/>
            </w:pPr>
            <w:r>
              <w:rPr>
                <w:rFonts w:ascii="Helvetica" w:hAnsi="Helvetica" w:cs="Helvetica"/>
                <w:color w:val="1F2128"/>
                <w:sz w:val="21"/>
              </w:rPr>
              <w:t>07/22/2026</w:t>
            </w:r>
          </w:p>
        </w:tc>
      </w:tr>
      <w:tr>
        <w:tc>
          <w:tcPr>
            <w:tcW w:type="dxa" w:w="1584"/>
            <w:tcBorders>
              <w:bottom w:val="single" w:sz="4" w:space="0" w:color="C9CDD6"/>
            </w:tcBorders>
            <w:vAlign w:val="top"/>
            <w:tcMar>
              <w:top w:w="80" w:type="dxa"/>
              <w:bottom w:w="80" w:type="dxa"/>
              <w:start w:w="0" w:type="dxa"/>
              <w:end w:w="160" w:type="dxa"/>
              <w:left w:w="0" w:type="dxa"/>
              <w:right w:w="160" w:type="dxa"/>
            </w:tcMar>
            <w:shd w:val="clear" w:color="auto" w:fill="F4F6FB"/>
          </w:tcPr>
          <w:p>
            <w:pPr>
              <w:spacing w:after="0" w:before="0" w:line="312" w:lineRule="auto"/>
            </w:pPr>
            <w:r>
              <w:rPr>
                <w:rFonts w:ascii="Helvetica" w:hAnsi="Helvetica" w:cs="Helvetica"/>
                <w:b/>
                <w:color w:val="4C5FB5"/>
                <w:sz w:val="18"/>
                <w:spacing w:val="60"/>
                <w:caps w:val="true"/>
              </w:rPr>
              <w:t>SUBJECT:</w:t>
            </w:r>
          </w:p>
        </w:tc>
        <w:tc>
          <w:tcPr>
            <w:tcW w:type="dxa" w:w="7776"/>
            <w:tcBorders>
              <w:bottom w:val="single" w:sz="4" w:space="0" w:color="C9CDD6"/>
            </w:tcBorders>
            <w:vAlign w:val="top"/>
            <w:tcMar>
              <w:top w:w="80" w:type="dxa"/>
              <w:bottom w:w="80" w:type="dxa"/>
              <w:start w:w="0" w:type="dxa"/>
              <w:end w:w="160" w:type="dxa"/>
              <w:left w:w="0" w:type="dxa"/>
              <w:right w:w="160" w:type="dxa"/>
            </w:tcMar>
          </w:tcPr>
          <w:p>
            <w:pPr>
              <w:spacing w:after="0" w:before="0" w:line="312" w:lineRule="auto"/>
            </w:pPr>
            <w:r>
              <w:rPr>
                <w:rFonts w:ascii="Helvetica" w:hAnsi="Helvetica" w:cs="Helvetica"/>
                <w:color w:val="1F2128"/>
                <w:sz w:val="21"/>
              </w:rPr>
              <w:t>Migration Close-Out</w:t>
            </w:r>
          </w:p>
        </w:tc>
      </w:tr>
    </w:tbl>
    <w:p>
      <w:pPr>
        <w:spacing w:before="0" w:after="80" w:line="240" w:lineRule="auto"/>
        <w:pBdr>
          <w:bottom w:val="single" w:sz="6" w:space="1" w:color="000000"/>
        </w:pBdr>
      </w:pPr>
    </w:p>
    <w:p>
      <w:pPr>
        <w:keepNext/>
        <w:spacing w:before="400" w:after="120" w:line="276" w:lineRule="auto"/>
        <w:pBdr>
          <w:bottom w:val="single" w:sz="4" w:space="3" w:color="E6E8EE"/>
        </w:pBdr>
      </w:pPr>
      <w:r>
        <w:rPr>
          <w:rFonts w:ascii="Helvetica" w:hAnsi="Helvetica" w:cs="Helvetica"/>
          <w:b/>
          <w:color w:val="1A2A6B"/>
          <w:sz w:val="28"/>
          <w:spacing w:val="20"/>
        </w:rPr>
        <w:t>1. Background</w:t>
      </w:r>
    </w:p>
    <w:p>
      <w:pPr>
        <w:spacing w:after="200" w:line="360" w:lineRule="auto" w:before="40"/>
        <w:ind w:firstLine="0"/>
        <w:jc w:val="both"/>
      </w:pPr>
      <w:r>
        <w:rPr>
          <w:rFonts w:ascii="Helvetica" w:hAnsi="Helvetica" w:cs="Helvetica"/>
          <w:color w:val="1F2128"/>
          <w:sz w:val="21"/>
        </w:rPr>
        <w:t>Consolidation of the human resources and payroll function onto the new HRIS was approved by the Board of Directors at its December 2025 meeting, and a contract with the incoming vendor was signed in April 2026. Under that contract, a hard cutover was scheduled for 07/01/2026, with no parallel payroll to be maintained on the legacy platform. The cutover plan, field mapping, and load specification were finalized in late June and executed on the scheduled date. The migration was completed as planned, and operations were transitioned to the new system on the effective date without interruption to services to employees.</w:t>
      </w:r>
    </w:p>
    <w:p>
      <w:pPr>
        <w:keepNext/>
        <w:spacing w:before="400" w:after="120" w:line="276" w:lineRule="auto"/>
        <w:pBdr>
          <w:bottom w:val="single" w:sz="4" w:space="3" w:color="E6E8EE"/>
        </w:pBdr>
      </w:pPr>
      <w:r>
        <w:rPr>
          <w:rFonts w:ascii="Helvetica" w:hAnsi="Helvetica" w:cs="Helvetica"/>
          <w:b/>
          <w:color w:val="1A2A6B"/>
          <w:sz w:val="28"/>
          <w:spacing w:val="20"/>
        </w:rPr>
        <w:t>2. Load Summary</w:t>
      </w:r>
    </w:p>
    <w:p>
      <w:pPr>
        <w:spacing w:after="200" w:line="360" w:lineRule="auto" w:before="40"/>
        <w:ind w:firstLine="0"/>
        <w:jc w:val="both"/>
      </w:pPr>
      <w:r>
        <w:rPr>
          <w:rFonts w:ascii="Helvetica" w:hAnsi="Helvetica" w:cs="Helvetica"/>
          <w:color w:val="1F2128"/>
          <w:sz w:val="21"/>
        </w:rPr>
        <w:t>Extracts prepared from the legacy platform were transformed in accordance with the approved field mapping and staged for import in advance of the cutover window. On the effective date, 56 records were loaded on 07/01/2026 into the new HRIS as the opening population of active employees. Post-load reconciliation of row counts, department assignments, employment status flags, and pay type coding was performed against the staging file, and the loaded population was released for downstream processing. The first biweekly payroll was successfully run on 07/10/2026 on the loaded data, with pay statements generated and disbursements released on the scheduled check date. No payroll exceptions were escalated in connection with the run.</w:t>
      </w:r>
    </w:p>
    <w:p>
      <w:pPr>
        <w:keepNext/>
        <w:spacing w:before="400" w:after="120" w:line="276" w:lineRule="auto"/>
        <w:pBdr>
          <w:bottom w:val="single" w:sz="4" w:space="3" w:color="E6E8EE"/>
        </w:pBdr>
      </w:pPr>
      <w:r>
        <w:rPr>
          <w:rFonts w:ascii="Helvetica" w:hAnsi="Helvetica" w:cs="Helvetica"/>
          <w:b/>
          <w:color w:val="1A2A6B"/>
          <w:sz w:val="28"/>
          <w:spacing w:val="20"/>
        </w:rPr>
        <w:t>3. Validation</w:t>
      </w:r>
    </w:p>
    <w:p>
      <w:pPr>
        <w:spacing w:after="200" w:line="360" w:lineRule="auto" w:before="40"/>
        <w:ind w:firstLine="0"/>
        <w:jc w:val="both"/>
      </w:pPr>
      <w:r>
        <w:rPr>
          <w:rFonts w:ascii="Helvetica" w:hAnsi="Helvetica" w:cs="Helvetica"/>
          <w:color w:val="1F2128"/>
          <w:sz w:val="21"/>
        </w:rPr>
        <w:t>Following the initial payroll cycle, a spot-check review of the loaded population was performed to confirm that key fields had been carried forward accurately from the source of record. 25 records were spot-checked, including all hire dates and salaries, and were found to be clean. The sample was selected to cover each department represented in the load and to include a mix of tenure and pay levels. On the basis of that review, the loaded data is considered fit for continued production use, and no remediation items have been identified that would require action prior to close-out.</w:t>
      </w:r>
    </w:p>
    <w:p>
      <w:pPr>
        <w:keepNext/>
        <w:spacing w:before="400" w:after="120" w:line="276" w:lineRule="auto"/>
        <w:pBdr>
          <w:bottom w:val="single" w:sz="4" w:space="3" w:color="E6E8EE"/>
        </w:pBdr>
      </w:pPr>
      <w:r>
        <w:rPr>
          <w:rFonts w:ascii="Helvetica" w:hAnsi="Helvetica" w:cs="Helvetica"/>
          <w:b/>
          <w:color w:val="1A2A6B"/>
          <w:sz w:val="28"/>
          <w:spacing w:val="20"/>
        </w:rPr>
        <w:t>4. Recommendation</w:t>
      </w:r>
    </w:p>
    <w:p>
      <w:pPr>
        <w:spacing w:after="200" w:line="360" w:lineRule="auto" w:before="40"/>
        <w:ind w:firstLine="0"/>
        <w:jc w:val="both"/>
      </w:pPr>
      <w:r>
        <w:rPr>
          <w:rFonts w:ascii="Helvetica" w:hAnsi="Helvetica" w:cs="Helvetica"/>
          <w:color w:val="1F2128"/>
          <w:sz w:val="21"/>
        </w:rPr>
        <w:t>The objectives of the migration having been met and the new HRIS having been placed into productive use, it is recommended that the contract with SplinterHR be closed effective 08/01/2026. Access to the legacy platform will be retained through the effective date for the sole purpose of receiving the final archive deliverable and confirming that no residual reporting obligations remain outstanding. Payment of any remaining invoices on the legacy contract should be released in the ordinary course, and no renewal action should be taken.</w:t>
      </w:r>
    </w:p>
    <w:p>
      <w:pPr>
        <w:keepNext/>
        <w:spacing w:before="400" w:after="120" w:line="276" w:lineRule="auto"/>
        <w:pBdr>
          <w:bottom w:val="single" w:sz="4" w:space="3" w:color="E6E8EE"/>
        </w:pBdr>
      </w:pPr>
      <w:r>
        <w:rPr>
          <w:rFonts w:ascii="Helvetica" w:hAnsi="Helvetica" w:cs="Helvetica"/>
          <w:b/>
          <w:color w:val="1A2A6B"/>
          <w:sz w:val="28"/>
          <w:spacing w:val="20"/>
        </w:rPr>
        <w:t>5. Sign-Off</w:t>
      </w:r>
    </w:p>
    <w:p>
      <w:pPr>
        <w:spacing w:after="200" w:line="360" w:lineRule="auto" w:before="40"/>
        <w:ind w:firstLine="0"/>
        <w:jc w:val="both"/>
      </w:pPr>
      <w:r>
        <w:rPr>
          <w:rFonts w:ascii="Helvetica" w:hAnsi="Helvetica" w:cs="Helvetica"/>
          <w:color w:val="1F2128"/>
          <w:sz w:val="21"/>
        </w:rPr>
        <w:t>Submitted for the record and for any further direction the recipients may wish to provide.</w:t>
      </w:r>
    </w:p>
    <w:p>
      <w:pPr>
        <w:spacing w:before="0" w:after="0" w:line="300" w:lineRule="auto"/>
        <w:ind w:firstLine="0"/>
      </w:pPr>
      <w:r>
        <w:rPr>
          <w:rFonts w:ascii="Helvetica" w:hAnsi="Helvetica" w:cs="Helvetica"/>
          <w:b/>
          <w:color w:val="1A2A6B"/>
          <w:sz w:val="23"/>
        </w:rPr>
        <w:t>Grayson Oshimoto</w:t>
      </w:r>
    </w:p>
    <w:p>
      <w:pPr>
        <w:spacing w:after="0" w:before="0" w:line="300" w:lineRule="auto"/>
        <w:ind w:firstLine="0"/>
      </w:pPr>
      <w:r>
        <w:rPr>
          <w:rFonts w:ascii="Helvetica" w:hAnsi="Helvetica" w:cs="Helvetica"/>
          <w:i/>
          <w:color w:val="6B7080"/>
          <w:sz w:val="20"/>
          <w:spacing w:val="30"/>
          <w:caps w:val="true"/>
        </w:rPr>
        <w:t>Office Manager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pPr>
    <w:rPr>
      <w:rFonts w:ascii="Helvetica" w:hAnsi="Helvetica" w:cs="Helvetica"/>
      <w:color w:val="1F21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revision>1</cp:revision>
  <cp:category/>
  <dc:creator xmlns:dc="http://purl.org/dc/elements/1.1/">Michael Labeson</dc:creator>
  <cp:lastModifiedBy>Michael Labeson</cp:lastModifiedBy>
</cp:coreProperties>
</file>