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line="252" w:lineRule="auto"/>
        <w:jc w:val="left"/>
        <w:pBdr>
          <w:bottom w:val="single" w:sz="18" w:space="10" w:color="1F2A52"/>
        </w:pBdr>
      </w:pPr>
      <w:r>
        <w:rPr>
          <w:rFonts w:ascii="Helvetica" w:hAnsi="Helvetica" w:cs="Helvetica" w:eastAsia="Helvetica"/>
          <w:b/>
          <w:color w:val="1F2A52"/>
          <w:sz w:val="60"/>
        </w:rPr>
        <w:t>Paid Time Off Policy</w:t>
      </w:r>
    </w:p>
    <w:p>
      <w:pPr>
        <w:spacing w:after="40" w:line="300" w:lineRule="auto" w:before="0"/>
        <w:jc w:val="left"/>
      </w:pPr>
      <w:r>
        <w:rPr>
          <w:rFonts w:ascii="Helvetica" w:hAnsi="Helvetica" w:cs="Helvetica" w:eastAsia="Helvetica"/>
          <w:b/>
          <w:color w:val="141618"/>
          <w:sz w:val="24"/>
        </w:rPr>
        <w:t>Troutly Analytics, Inc.</w:t>
      </w:r>
    </w:p>
    <w:p>
      <w:pPr>
        <w:spacing w:after="40" w:line="300" w:lineRule="auto" w:before="0"/>
        <w:jc w:val="left"/>
      </w:pPr>
      <w:r>
        <w:rPr>
          <w:rFonts w:ascii="Helvetica" w:hAnsi="Helvetica" w:cs="Helvetica" w:eastAsia="Helvetica"/>
          <w:i/>
          <w:color w:val="6B7280"/>
          <w:sz w:val="20"/>
        </w:rPr>
        <w:t>2405 South Congress Avenue, Austin, TX 78704</w:t>
      </w:r>
    </w:p>
    <w:p>
      <w:pPr>
        <w:spacing w:after="40" w:line="300" w:lineRule="auto" w:before="0"/>
        <w:jc w:val="left"/>
      </w:pPr>
      <w:r>
        <w:rPr>
          <w:rFonts w:ascii="Helvetica" w:hAnsi="Helvetica" w:cs="Helvetica" w:eastAsia="Helvetica"/>
          <w:b/>
          <w:color w:val="6B7280"/>
          <w:sz w:val="20"/>
        </w:rPr>
        <w:t xml:space="preserve">Policy Owner: </w:t>
      </w:r>
      <w:r>
        <w:rPr>
          <w:rFonts w:ascii="Helvetica" w:hAnsi="Helvetica" w:cs="Helvetica" w:eastAsia="Helvetica"/>
          <w:color w:val="6B7280"/>
          <w:sz w:val="20"/>
        </w:rPr>
        <w:t>Grayson Oshimoto, Office Manager</w:t>
      </w:r>
    </w:p>
    <w:p>
      <w:pPr>
        <w:spacing w:after="40" w:line="300" w:lineRule="auto" w:before="0"/>
        <w:jc w:val="left"/>
      </w:pPr>
      <w:r>
        <w:rPr>
          <w:rFonts w:ascii="Helvetica" w:hAnsi="Helvetica" w:cs="Helvetica" w:eastAsia="Helvetica"/>
          <w:b/>
          <w:color w:val="6B7280"/>
          <w:sz w:val="20"/>
        </w:rPr>
        <w:t xml:space="preserve">Issued: </w:t>
      </w:r>
      <w:r>
        <w:rPr>
          <w:rFonts w:ascii="Helvetica" w:hAnsi="Helvetica" w:cs="Helvetica" w:eastAsia="Helvetica"/>
          <w:color w:val="6B7280"/>
          <w:sz w:val="20"/>
        </w:rPr>
        <w:t>January 2025</w:t>
      </w:r>
    </w:p>
    <w:p>
      <w:pPr>
        <w:spacing w:after="40" w:before="0" w:line="341" w:lineRule="auto"/>
        <w:pBdr>
          <w:bottom w:val="single" w:sz="6" w:space="1" w:color="888888"/>
        </w:pBdr>
        <w:jc w:val="left"/>
      </w:pPr>
    </w:p>
    <w:p>
      <w:pPr>
        <w:keepNext/>
        <w:spacing w:before="400" w:after="120" w:line="264" w:lineRule="auto"/>
        <w:jc w:val="left"/>
        <w:pBdr>
          <w:bottom w:val="single" w:sz="6" w:space="4" w:color="2E5BFF"/>
        </w:pBdr>
      </w:pPr>
      <w:r>
        <w:rPr>
          <w:rFonts w:ascii="Helvetica" w:hAnsi="Helvetica" w:cs="Helvetica" w:eastAsia="Helvetica"/>
          <w:b/>
          <w:color w:val="1F2A52"/>
          <w:sz w:val="30"/>
        </w:rPr>
        <w:t>1. Purpose</w:t>
      </w:r>
    </w:p>
    <w:p>
      <w:pPr>
        <w:spacing w:after="140" w:before="0" w:line="341" w:lineRule="auto"/>
        <w:jc w:val="both"/>
      </w:pPr>
      <w:r>
        <w:rPr>
          <w:rFonts w:ascii="Helvetica" w:hAnsi="Helvetica" w:cs="Helvetica" w:eastAsia="Helvetica"/>
          <w:b w:val="0"/>
          <w:i w:val="0"/>
          <w:color w:val="141618"/>
          <w:sz w:val="21"/>
        </w:rPr>
        <w:t>This policy establishes how paid time off (“PTO”) is earned, held, valued, and paid at Troutly Analytics, Inc. It applies to all regular full-time employees on the U.S. payroll. Contractors, interns, and temporary workers are not covered. PTO is a single combined bank intended for vacation, personal days, and general time away from work; the company’s separate sick-time, bereavement, and jury-duty practices are not funded from this bank.</w:t>
      </w:r>
    </w:p>
    <w:p>
      <w:pPr>
        <w:spacing w:after="140" w:before="0" w:line="341" w:lineRule="auto"/>
        <w:jc w:val="both"/>
      </w:pPr>
      <w:r>
        <w:rPr>
          <w:rFonts w:ascii="Helvetica" w:hAnsi="Helvetica" w:cs="Helvetica" w:eastAsia="Helvetica"/>
          <w:b w:val="0"/>
          <w:i w:val="0"/>
          <w:color w:val="141618"/>
          <w:sz w:val="21"/>
        </w:rPr>
        <w:t>Managers are responsible for making sure their teams take PTO in a way that keeps client work, engineering deliverables, and customer support coverage on track. Employees are responsible for planning ahead, communicating early, and using the request procedure in Section 6.</w:t>
      </w:r>
    </w:p>
    <w:p>
      <w:pPr>
        <w:keepNext/>
        <w:spacing w:before="400" w:after="120" w:line="264" w:lineRule="auto"/>
        <w:jc w:val="left"/>
        <w:pBdr>
          <w:bottom w:val="single" w:sz="6" w:space="4" w:color="2E5BFF"/>
        </w:pBdr>
      </w:pPr>
      <w:r>
        <w:rPr>
          <w:rFonts w:ascii="Helvetica" w:hAnsi="Helvetica" w:cs="Helvetica" w:eastAsia="Helvetica"/>
          <w:b/>
          <w:color w:val="1F2A52"/>
          <w:sz w:val="30"/>
        </w:rPr>
        <w:t>2. Accrual</w:t>
      </w:r>
    </w:p>
    <w:p>
      <w:pPr>
        <w:spacing w:after="140" w:before="0" w:line="341" w:lineRule="auto"/>
        <w:jc w:val="both"/>
      </w:pPr>
      <w:r>
        <w:rPr>
          <w:rFonts w:ascii="Helvetica" w:hAnsi="Helvetica" w:cs="Helvetica" w:eastAsia="Helvetica"/>
          <w:b w:val="0"/>
          <w:i w:val="0"/>
          <w:color w:val="141618"/>
          <w:sz w:val="21"/>
        </w:rPr>
        <w:t xml:space="preserve">PTO accrues </w:t>
      </w:r>
      <w:r>
        <w:rPr>
          <w:rFonts w:ascii="Helvetica" w:hAnsi="Helvetica" w:cs="Helvetica" w:eastAsia="Helvetica"/>
          <w:b/>
          <w:i w:val="0"/>
          <w:color w:val="141618"/>
          <w:sz w:val="21"/>
        </w:rPr>
        <w:t>monthly on the 1st</w:t>
      </w:r>
      <w:r>
        <w:rPr>
          <w:rFonts w:ascii="Helvetica" w:hAnsi="Helvetica" w:cs="Helvetica" w:eastAsia="Helvetica"/>
          <w:b w:val="0"/>
          <w:i w:val="0"/>
          <w:color w:val="141618"/>
          <w:sz w:val="21"/>
        </w:rPr>
        <w:t xml:space="preserve"> of each month at the </w:t>
      </w:r>
      <w:r>
        <w:rPr>
          <w:rFonts w:ascii="Helvetica" w:hAnsi="Helvetica" w:cs="Helvetica" w:eastAsia="Helvetica"/>
          <w:b/>
          <w:i w:val="0"/>
          <w:color w:val="141618"/>
          <w:sz w:val="21"/>
        </w:rPr>
        <w:t>annual tier divided by 12</w:t>
      </w:r>
      <w:r>
        <w:rPr>
          <w:rFonts w:ascii="Helvetica" w:hAnsi="Helvetica" w:cs="Helvetica" w:eastAsia="Helvetica"/>
          <w:b w:val="0"/>
          <w:i w:val="0"/>
          <w:color w:val="141618"/>
          <w:sz w:val="21"/>
        </w:rPr>
        <w:t>. An employee who is on the active U.S. payroll on the 1st of a given month receives that month’s accrual in full on that date. Employees who start after the 1st of a month do not accrue for that partial month; their first accrual posts on the 1st of the following month. Employees who separate mid-month do not receive an accrual for the month of separation.</w:t>
      </w:r>
    </w:p>
    <w:p>
      <w:pPr>
        <w:spacing w:after="140" w:before="0" w:line="341" w:lineRule="auto"/>
        <w:jc w:val="both"/>
      </w:pPr>
      <w:r>
        <w:rPr>
          <w:rFonts w:ascii="Helvetica" w:hAnsi="Helvetica" w:cs="Helvetica" w:eastAsia="Helvetica"/>
          <w:b w:val="0"/>
          <w:i w:val="0"/>
          <w:color w:val="141618"/>
          <w:sz w:val="21"/>
        </w:rPr>
        <w:t>The annual accrual tier is determined by completed years of continuous service as of the 1st of the accrual month, using the following schedule:</w:t>
      </w:r>
    </w:p>
    <w:tbl>
      <w:tblPr>
        <w:tblStyle w:val="LightGrid-Accent1"/>
        <w:tblW w:type="pct" w:w="5000"/>
        <w:jc w:val="center"/>
        <w:tblLayout w:type="fixed"/>
        <w:tblLook w:firstColumn="1" w:firstRow="1" w:lastColumn="0" w:lastRow="0" w:noHBand="0" w:noVBand="1" w:val="04A0"/>
        <w:tblBorders>
          <w:top w:val="nil"/>
          <w:left w:val="nil"/>
          <w:bottom w:val="nil"/>
          <w:right w:val="nil"/>
          <w:insideH w:val="single" w:sz="4" w:space="0" w:color="C9CED6"/>
          <w:insideV w:val="nil"/>
        </w:tblBorders>
        <w:tblCellMar>
          <w:top w:w="90" w:type="dxa"/>
          <w:bottom w:w="90" w:type="dxa"/>
          <w:left w:w="140" w:type="dxa"/>
          <w:right w:w="140" w:type="dxa"/>
        </w:tblCellMar>
      </w:tblPr>
      <w:tblGrid>
        <w:gridCol w:w="4536"/>
        <w:gridCol w:w="4536"/>
      </w:tblGrid>
      <w:tr>
        <w:tc>
          <w:tcPr>
            <w:tcW w:type="dxa" w:w="5184"/>
            <w:vAlign w:val="center"/>
            <w:shd w:val="clear" w:color="auto" w:fill="1F2A52"/>
            <w:tcBorders>
              <w:top w:val="nil"/>
              <w:left w:val="nil"/>
              <w:bottom w:val="nil"/>
              <w:right w:val="nil"/>
            </w:tcBorders>
          </w:tcPr>
          <w:p>
            <w:pPr>
              <w:spacing w:after="40" w:before="40" w:line="276" w:lineRule="auto"/>
              <w:jc w:val="left"/>
              <w:rPr>
                <w:color w:val="FFFFFF"/>
              </w:rPr>
            </w:pPr>
            <w:r>
              <w:rPr>
                <w:rFonts w:ascii="Helvetica" w:hAnsi="Helvetica" w:cs="Helvetica" w:eastAsia="Helvetica"/>
                <w:b/>
                <w:color w:val="FFFFFF"/>
                <w:sz w:val="21"/>
              </w:rPr>
              <w:t>Completed Years of Service</w:t>
            </w:r>
          </w:p>
        </w:tc>
        <w:tc>
          <w:tcPr>
            <w:tcW w:type="dxa" w:w="2880"/>
            <w:vAlign w:val="center"/>
            <w:shd w:val="clear" w:color="auto" w:fill="1F2A52"/>
            <w:tcBorders>
              <w:top w:val="nil"/>
              <w:left w:val="nil"/>
              <w:bottom w:val="nil"/>
              <w:right w:val="nil"/>
            </w:tcBorders>
          </w:tcPr>
          <w:p>
            <w:pPr>
              <w:spacing w:after="40" w:before="40" w:line="276" w:lineRule="auto"/>
              <w:jc w:val="left"/>
              <w:rPr>
                <w:color w:val="FFFFFF"/>
              </w:rPr>
            </w:pPr>
            <w:r>
              <w:rPr>
                <w:rFonts w:ascii="Helvetica" w:hAnsi="Helvetica" w:cs="Helvetica" w:eastAsia="Helvetica"/>
                <w:b/>
                <w:color w:val="FFFFFF"/>
                <w:sz w:val="21"/>
              </w:rPr>
              <w:t>Annual Accrual</w:t>
            </w:r>
          </w:p>
        </w:tc>
      </w:tr>
      <w:tr>
        <w:tc>
          <w:tcPr>
            <w:tcW w:type="dxa" w:w="5184"/>
            <w:vAlign w:val="center"/>
            <w:shd w:val="clear" w:color="auto" w:fill="FFFFFF"/>
            <w:tcBorders>
              <w:top w:val="nil"/>
              <w:left w:val="nil"/>
              <w:bottom w:val="nil"/>
              <w:right w:val="nil"/>
            </w:tcBorders>
          </w:tcPr>
          <w:p>
            <w:pPr>
              <w:spacing w:after="40" w:before="40" w:line="276" w:lineRule="auto"/>
              <w:jc w:val="left"/>
            </w:pPr>
            <w:r>
              <w:rPr>
                <w:rFonts w:ascii="Helvetica" w:hAnsi="Helvetica" w:cs="Helvetica" w:eastAsia="Helvetica"/>
                <w:b/>
                <w:color w:val="141618"/>
                <w:sz w:val="21"/>
              </w:rPr>
              <w:t>Under 2 years</w:t>
            </w:r>
          </w:p>
        </w:tc>
        <w:tc>
          <w:tcPr>
            <w:tcW w:type="dxa" w:w="2880"/>
            <w:vAlign w:val="center"/>
            <w:shd w:val="clear" w:color="auto" w:fill="FFFFFF"/>
            <w:tcBorders>
              <w:top w:val="nil"/>
              <w:left w:val="nil"/>
              <w:bottom w:val="nil"/>
              <w:right w:val="nil"/>
            </w:tcBorders>
          </w:tcPr>
          <w:p>
            <w:pPr>
              <w:spacing w:after="40" w:before="40" w:line="276" w:lineRule="auto"/>
              <w:jc w:val="right"/>
            </w:pPr>
            <w:r>
              <w:rPr>
                <w:rFonts w:ascii="Helvetica" w:hAnsi="Helvetica" w:cs="Helvetica" w:eastAsia="Helvetica"/>
                <w:b w:val="0"/>
                <w:color w:val="141618"/>
                <w:sz w:val="21"/>
              </w:rPr>
              <w:t>80 hours</w:t>
            </w:r>
          </w:p>
        </w:tc>
      </w:tr>
      <w:tr>
        <w:tc>
          <w:tcPr>
            <w:tcW w:type="dxa" w:w="5184"/>
            <w:vAlign w:val="center"/>
            <w:shd w:val="clear" w:color="auto" w:fill="F2F4F8"/>
            <w:tcBorders>
              <w:top w:val="nil"/>
              <w:left w:val="nil"/>
              <w:bottom w:val="nil"/>
              <w:right w:val="nil"/>
            </w:tcBorders>
          </w:tcPr>
          <w:p>
            <w:pPr>
              <w:spacing w:after="40" w:before="40" w:line="276" w:lineRule="auto"/>
              <w:jc w:val="left"/>
            </w:pPr>
            <w:r>
              <w:rPr>
                <w:rFonts w:ascii="Helvetica" w:hAnsi="Helvetica" w:cs="Helvetica" w:eastAsia="Helvetica"/>
                <w:b/>
                <w:color w:val="141618"/>
                <w:sz w:val="21"/>
              </w:rPr>
              <w:t>2 years to under 5 years</w:t>
            </w:r>
          </w:p>
        </w:tc>
        <w:tc>
          <w:tcPr>
            <w:tcW w:type="dxa" w:w="2880"/>
            <w:vAlign w:val="center"/>
            <w:shd w:val="clear" w:color="auto" w:fill="F2F4F8"/>
            <w:tcBorders>
              <w:top w:val="nil"/>
              <w:left w:val="nil"/>
              <w:bottom w:val="nil"/>
              <w:right w:val="nil"/>
            </w:tcBorders>
          </w:tcPr>
          <w:p>
            <w:pPr>
              <w:spacing w:after="40" w:before="40" w:line="276" w:lineRule="auto"/>
              <w:jc w:val="right"/>
            </w:pPr>
            <w:r>
              <w:rPr>
                <w:rFonts w:ascii="Helvetica" w:hAnsi="Helvetica" w:cs="Helvetica" w:eastAsia="Helvetica"/>
                <w:b w:val="0"/>
                <w:color w:val="141618"/>
                <w:sz w:val="21"/>
              </w:rPr>
              <w:t>120 hours</w:t>
            </w:r>
          </w:p>
        </w:tc>
      </w:tr>
      <w:tr>
        <w:tc>
          <w:tcPr>
            <w:tcW w:type="dxa" w:w="5184"/>
            <w:vAlign w:val="center"/>
            <w:shd w:val="clear" w:color="auto" w:fill="FFFFFF"/>
            <w:tcBorders>
              <w:top w:val="nil"/>
              <w:left w:val="nil"/>
              <w:bottom w:val="nil"/>
              <w:right w:val="nil"/>
            </w:tcBorders>
          </w:tcPr>
          <w:p>
            <w:pPr>
              <w:spacing w:after="40" w:before="40" w:line="276" w:lineRule="auto"/>
              <w:jc w:val="left"/>
            </w:pPr>
            <w:r>
              <w:rPr>
                <w:rFonts w:ascii="Helvetica" w:hAnsi="Helvetica" w:cs="Helvetica" w:eastAsia="Helvetica"/>
                <w:b/>
                <w:color w:val="141618"/>
                <w:sz w:val="21"/>
              </w:rPr>
              <w:t>5 years and over</w:t>
            </w:r>
          </w:p>
        </w:tc>
        <w:tc>
          <w:tcPr>
            <w:tcW w:type="dxa" w:w="2880"/>
            <w:vAlign w:val="center"/>
            <w:shd w:val="clear" w:color="auto" w:fill="FFFFFF"/>
            <w:tcBorders>
              <w:top w:val="nil"/>
              <w:left w:val="nil"/>
              <w:bottom w:val="nil"/>
              <w:right w:val="nil"/>
            </w:tcBorders>
          </w:tcPr>
          <w:p>
            <w:pPr>
              <w:spacing w:after="40" w:before="40" w:line="276" w:lineRule="auto"/>
              <w:jc w:val="right"/>
            </w:pPr>
            <w:r>
              <w:rPr>
                <w:rFonts w:ascii="Helvetica" w:hAnsi="Helvetica" w:cs="Helvetica" w:eastAsia="Helvetica"/>
                <w:b w:val="0"/>
                <w:color w:val="141618"/>
                <w:sz w:val="21"/>
              </w:rPr>
              <w:t>160 hours</w:t>
            </w:r>
          </w:p>
        </w:tc>
      </w:tr>
    </w:tbl>
    <w:p>
      <w:pPr>
        <w:spacing w:after="40" w:line="341" w:lineRule="auto" w:before="0"/>
        <w:jc w:val="left"/>
      </w:pPr>
    </w:p>
    <w:p>
      <w:pPr>
        <w:spacing w:after="140" w:before="0" w:line="341" w:lineRule="auto"/>
        <w:jc w:val="both"/>
      </w:pPr>
      <w:r>
        <w:rPr>
          <w:rFonts w:ascii="Helvetica" w:hAnsi="Helvetica" w:cs="Helvetica" w:eastAsia="Helvetica"/>
          <w:b w:val="0"/>
          <w:i w:val="0"/>
          <w:color w:val="141618"/>
          <w:sz w:val="21"/>
        </w:rPr>
        <w:t>A tier change takes effect on the 1st of the month following the service anniversary. Employees remain on their prior tier for accrual purposes during the month in which the anniversary falls; the new, higher monthly amount posts on the next 1st.</w:t>
      </w:r>
    </w:p>
    <w:p>
      <w:pPr>
        <w:spacing w:after="140" w:before="0" w:line="341" w:lineRule="auto"/>
        <w:jc w:val="both"/>
      </w:pPr>
      <w:r>
        <w:rPr>
          <w:rFonts w:ascii="Helvetica" w:hAnsi="Helvetica" w:cs="Helvetica" w:eastAsia="Helvetica"/>
          <w:b w:val="0"/>
          <w:i w:val="0"/>
          <w:color w:val="141618"/>
          <w:sz w:val="21"/>
        </w:rPr>
        <w:t>Accrual amounts are calculated by dividing the annual tier by twelve and are recorded to two decimal places in the payroll system. An 80-hour tier posts 6.67 hours per month; a 120-hour tier posts 10.00 hours per month; a 160-hour tier posts 13.33 hours per month.</w:t>
      </w:r>
    </w:p>
    <w:p>
      <w:pPr>
        <w:spacing w:after="140" w:before="0" w:line="341" w:lineRule="auto"/>
        <w:jc w:val="both"/>
      </w:pPr>
      <w:r>
        <w:rPr>
          <w:rFonts w:ascii="Helvetica" w:hAnsi="Helvetica" w:cs="Helvetica" w:eastAsia="Helvetica"/>
          <w:b w:val="0"/>
          <w:i w:val="0"/>
          <w:color w:val="141618"/>
          <w:sz w:val="21"/>
        </w:rPr>
        <w:t>Time taken but not yet earned (“negative PTO”) is not permitted. Requests that would drive the balance below zero at the requested date must be denied by the approving manager.</w:t>
      </w:r>
    </w:p>
    <w:p>
      <w:pPr>
        <w:keepNext/>
        <w:spacing w:before="400" w:after="120" w:line="264" w:lineRule="auto"/>
        <w:jc w:val="left"/>
        <w:pBdr>
          <w:bottom w:val="single" w:sz="6" w:space="4" w:color="2E5BFF"/>
        </w:pBdr>
      </w:pPr>
      <w:r>
        <w:rPr>
          <w:rFonts w:ascii="Helvetica" w:hAnsi="Helvetica" w:cs="Helvetica" w:eastAsia="Helvetica"/>
          <w:b/>
          <w:color w:val="1F2A52"/>
          <w:sz w:val="30"/>
        </w:rPr>
        <w:t>3. Carryover</w:t>
      </w:r>
    </w:p>
    <w:p>
      <w:pPr>
        <w:spacing w:after="140" w:before="0" w:line="341" w:lineRule="auto"/>
        <w:jc w:val="both"/>
      </w:pPr>
      <w:r>
        <w:rPr>
          <w:rFonts w:ascii="Helvetica" w:hAnsi="Helvetica" w:cs="Helvetica" w:eastAsia="Helvetica"/>
          <w:b w:val="0"/>
          <w:i w:val="0"/>
          <w:color w:val="141618"/>
          <w:sz w:val="21"/>
        </w:rPr>
        <w:t xml:space="preserve">Unused PTO balances </w:t>
      </w:r>
      <w:r>
        <w:rPr>
          <w:rFonts w:ascii="Helvetica" w:hAnsi="Helvetica" w:cs="Helvetica" w:eastAsia="Helvetica"/>
          <w:b/>
          <w:i w:val="0"/>
          <w:color w:val="141618"/>
          <w:sz w:val="21"/>
        </w:rPr>
        <w:t>carry over without limit</w:t>
      </w:r>
      <w:r>
        <w:rPr>
          <w:rFonts w:ascii="Helvetica" w:hAnsi="Helvetica" w:cs="Helvetica" w:eastAsia="Helvetica"/>
          <w:b w:val="0"/>
          <w:i w:val="0"/>
          <w:color w:val="141618"/>
          <w:sz w:val="21"/>
        </w:rPr>
        <w:t xml:space="preserve"> into subsequent years. There is no annual reset, no forfeiture at year-end, and no maximum balance that an employee may accumulate. An employee who does not use PTO in a given calendar year keeps the full balance on the books and continues to accrue on top of it.</w:t>
      </w:r>
    </w:p>
    <w:p>
      <w:pPr>
        <w:spacing w:after="0" w:before="200" w:line="288" w:lineRule="auto"/>
        <w:jc w:val="left"/>
      </w:pPr>
      <w:r>
        <w:rPr>
          <w:rFonts w:ascii="Helvetica" w:hAnsi="Helvetica" w:cs="Helvetica" w:eastAsia="Helvetica"/>
          <w:b/>
          <w:i w:val="0"/>
          <w:color w:val="1F2A52"/>
          <w:sz w:val="21"/>
        </w:rPr>
        <w:t>Grayson Oshimoto, Office Manager</w:t>
      </w:r>
    </w:p>
    <w:p>
      <w:pPr>
        <w:spacing w:after="280" w:before="40" w:line="288" w:lineRule="auto"/>
        <w:jc w:val="left"/>
      </w:pPr>
      <w:r>
        <w:rPr>
          <w:rFonts w:ascii="Helvetica" w:hAnsi="Helvetica" w:cs="Helvetica" w:eastAsia="Helvetica"/>
          <w:b w:val="0"/>
          <w:i/>
          <w:color w:val="6B7280"/>
          <w:sz w:val="18"/>
        </w:rPr>
        <w:t>Reviewed and confirmed current, July 2026, GO</w:t>
      </w:r>
    </w:p>
    <w:p>
      <w:pPr>
        <w:keepNext/>
        <w:spacing w:before="400" w:after="120" w:line="264" w:lineRule="auto"/>
        <w:jc w:val="left"/>
        <w:pBdr>
          <w:bottom w:val="single" w:sz="6" w:space="4" w:color="2E5BFF"/>
        </w:pBdr>
      </w:pPr>
      <w:r>
        <w:rPr>
          <w:rFonts w:ascii="Helvetica" w:hAnsi="Helvetica" w:cs="Helvetica" w:eastAsia="Helvetica"/>
          <w:b/>
          <w:color w:val="1F2A52"/>
          <w:sz w:val="30"/>
        </w:rPr>
        <w:t>4. Valuation</w:t>
      </w:r>
    </w:p>
    <w:p>
      <w:pPr>
        <w:spacing w:after="140" w:before="0" w:line="341" w:lineRule="auto"/>
        <w:jc w:val="both"/>
      </w:pPr>
      <w:r>
        <w:rPr>
          <w:rFonts w:ascii="Helvetica" w:hAnsi="Helvetica" w:cs="Helvetica" w:eastAsia="Helvetica"/>
          <w:b w:val="0"/>
          <w:i w:val="0"/>
          <w:color w:val="141618"/>
          <w:sz w:val="21"/>
        </w:rPr>
        <w:t xml:space="preserve">For all purposes for which a dollar value of PTO is required — including internal accounting entries, payout at separation under Section 5, and any employee-facing balance statement — balances are valued at the </w:t>
      </w:r>
      <w:r>
        <w:rPr>
          <w:rFonts w:ascii="Helvetica" w:hAnsi="Helvetica" w:cs="Helvetica" w:eastAsia="Helvetica"/>
          <w:b/>
          <w:i w:val="0"/>
          <w:color w:val="141618"/>
          <w:sz w:val="21"/>
        </w:rPr>
        <w:t>employee’s current hourly rate</w:t>
      </w:r>
      <w:r>
        <w:rPr>
          <w:rFonts w:ascii="Helvetica" w:hAnsi="Helvetica" w:cs="Helvetica" w:eastAsia="Helvetica"/>
          <w:b w:val="0"/>
          <w:i w:val="0"/>
          <w:color w:val="141618"/>
          <w:sz w:val="21"/>
        </w:rPr>
        <w:t>.</w:t>
      </w:r>
    </w:p>
    <w:p>
      <w:pPr>
        <w:spacing w:after="140" w:before="0" w:line="341" w:lineRule="auto"/>
        <w:jc w:val="both"/>
      </w:pPr>
      <w:r>
        <w:rPr>
          <w:rFonts w:ascii="Helvetica" w:hAnsi="Helvetica" w:cs="Helvetica" w:eastAsia="Helvetica"/>
          <w:b w:val="0"/>
          <w:i w:val="0"/>
          <w:color w:val="141618"/>
          <w:sz w:val="21"/>
        </w:rPr>
        <w:t>For salaried (exempt) employees, the current hourly rate is the annualized base salary in effect on the valuation date divided by 2,080 hours. For hourly (non-exempt) employees, the current hourly rate is the base hourly rate in effect on the valuation date. Sign-on bonuses, commissions, spot bonuses, equity, and any allowance or reimbursement are excluded from the valuation rate.</w:t>
      </w:r>
    </w:p>
    <w:p>
      <w:pPr>
        <w:spacing w:after="140" w:before="0" w:line="341" w:lineRule="auto"/>
        <w:jc w:val="both"/>
      </w:pPr>
      <w:r>
        <w:rPr>
          <w:rFonts w:ascii="Helvetica" w:hAnsi="Helvetica" w:cs="Helvetica" w:eastAsia="Helvetica"/>
          <w:b w:val="0"/>
          <w:i w:val="0"/>
          <w:color w:val="141618"/>
          <w:sz w:val="21"/>
        </w:rPr>
        <w:t>The valuation date for accounting entries is the last calendar day of the month being closed. The valuation date for a separation payout is the employee’s last day worked. If a pay change is effective on the valuation date itself, the rate in effect at the end of that day is used.</w:t>
      </w:r>
    </w:p>
    <w:p>
      <w:pPr>
        <w:keepNext/>
        <w:spacing w:before="400" w:after="120" w:line="264" w:lineRule="auto"/>
        <w:jc w:val="left"/>
        <w:pBdr>
          <w:bottom w:val="single" w:sz="6" w:space="4" w:color="2E5BFF"/>
        </w:pBdr>
      </w:pPr>
      <w:r>
        <w:rPr>
          <w:rFonts w:ascii="Helvetica" w:hAnsi="Helvetica" w:cs="Helvetica" w:eastAsia="Helvetica"/>
          <w:b/>
          <w:color w:val="1F2A52"/>
          <w:sz w:val="30"/>
        </w:rPr>
        <w:t>5. Payout at Separation</w:t>
      </w:r>
    </w:p>
    <w:p>
      <w:pPr>
        <w:spacing w:after="140" w:before="0" w:line="341" w:lineRule="auto"/>
        <w:jc w:val="both"/>
      </w:pPr>
      <w:r>
        <w:rPr>
          <w:rFonts w:ascii="Helvetica" w:hAnsi="Helvetica" w:cs="Helvetica" w:eastAsia="Helvetica"/>
          <w:b w:val="0"/>
          <w:i w:val="0"/>
          <w:color w:val="141618"/>
          <w:sz w:val="21"/>
        </w:rPr>
        <w:t xml:space="preserve">Accrued, unused PTO is paid at separation </w:t>
      </w:r>
      <w:r>
        <w:rPr>
          <w:rFonts w:ascii="Helvetica" w:hAnsi="Helvetica" w:cs="Helvetica" w:eastAsia="Helvetica"/>
          <w:b/>
          <w:i w:val="0"/>
          <w:color w:val="141618"/>
          <w:sz w:val="21"/>
        </w:rPr>
        <w:t>only with 14 calendar days written notice AND working through the notice period</w:t>
      </w:r>
      <w:r>
        <w:rPr>
          <w:rFonts w:ascii="Helvetica" w:hAnsi="Helvetica" w:cs="Helvetica" w:eastAsia="Helvetica"/>
          <w:b w:val="0"/>
          <w:i w:val="0"/>
          <w:color w:val="141618"/>
          <w:sz w:val="21"/>
        </w:rPr>
        <w:t>. Both conditions must be met. An employee who provides notice of at least 14 calendar days but does not work through the stated last day (whether because the employee stops reporting to work, is placed on garden leave without company approval, or ends the notice period early for any reason) is not eligible for a payout. An employee who works through their stated last day but did not provide at least 14 calendar days of written notice in advance is likewise not eligible for a payout.</w:t>
      </w:r>
    </w:p>
    <w:p>
      <w:pPr>
        <w:spacing w:after="140" w:before="0" w:line="341" w:lineRule="auto"/>
        <w:jc w:val="both"/>
      </w:pPr>
      <w:r>
        <w:rPr>
          <w:rFonts w:ascii="Helvetica" w:hAnsi="Helvetica" w:cs="Helvetica" w:eastAsia="Helvetica"/>
          <w:b w:val="0"/>
          <w:i w:val="0"/>
          <w:color w:val="141618"/>
          <w:sz w:val="21"/>
        </w:rPr>
        <w:t>Written notice means an email, letter, or signed resignation form addressed to the employee’s manager or to the People/HR function. The notice date is the date the written notice is received by the company, not the date the employee decided to resign. The 14 calendar days include weekends and holidays and are counted from (but not including) the day the notice is received.</w:t>
      </w:r>
    </w:p>
    <w:p>
      <w:pPr>
        <w:spacing w:after="140" w:before="0" w:line="341" w:lineRule="auto"/>
        <w:jc w:val="both"/>
      </w:pPr>
      <w:r>
        <w:rPr>
          <w:rFonts w:ascii="Helvetica" w:hAnsi="Helvetica" w:cs="Helvetica" w:eastAsia="Helvetica"/>
          <w:b w:val="0"/>
          <w:i w:val="0"/>
          <w:color w:val="141618"/>
          <w:sz w:val="21"/>
        </w:rPr>
        <w:t>Payouts, when owed, are calculated as the unused hour balance on the last day worked multiplied by the current hourly rate defined in Section 4. Payment is made on the next regularly scheduled payroll following separation. Employees who are terminated by the company involuntarily are covered by the terms of any separation agreement offered at that time; this Section 5 addresses only voluntary separations.</w:t>
      </w:r>
    </w:p>
    <w:p>
      <w:pPr>
        <w:spacing w:after="140" w:before="0" w:line="341" w:lineRule="auto"/>
        <w:jc w:val="both"/>
      </w:pPr>
      <w:r>
        <w:rPr>
          <w:rFonts w:ascii="Helvetica" w:hAnsi="Helvetica" w:cs="Helvetica" w:eastAsia="Helvetica"/>
          <w:b w:val="0"/>
          <w:i w:val="0"/>
          <w:color w:val="141618"/>
          <w:sz w:val="21"/>
        </w:rPr>
        <w:t>Where the two conditions above are not both satisfied, no payout of accrued PTO is owed. Balances that are not paid out are extinguished at separation and are not restored on rehire, except as provided under the company’s rehire practice for bridged service.</w:t>
      </w:r>
    </w:p>
    <w:p>
      <w:pPr>
        <w:spacing w:after="0" w:before="200" w:line="288" w:lineRule="auto"/>
        <w:jc w:val="left"/>
      </w:pPr>
      <w:r>
        <w:rPr>
          <w:rFonts w:ascii="Helvetica" w:hAnsi="Helvetica" w:cs="Helvetica" w:eastAsia="Helvetica"/>
          <w:b/>
          <w:i w:val="0"/>
          <w:color w:val="1F2A52"/>
          <w:sz w:val="21"/>
        </w:rPr>
        <w:t>Grayson Oshimoto, Office Manager</w:t>
      </w:r>
    </w:p>
    <w:p>
      <w:pPr>
        <w:spacing w:after="280" w:before="40" w:line="288" w:lineRule="auto"/>
        <w:jc w:val="left"/>
      </w:pPr>
      <w:r>
        <w:rPr>
          <w:rFonts w:ascii="Helvetica" w:hAnsi="Helvetica" w:cs="Helvetica" w:eastAsia="Helvetica"/>
          <w:b w:val="0"/>
          <w:i/>
          <w:color w:val="6B7280"/>
          <w:sz w:val="18"/>
        </w:rPr>
        <w:t>Reviewed and confirmed current, July 2026, GO</w:t>
      </w:r>
    </w:p>
    <w:p>
      <w:pPr>
        <w:keepNext/>
        <w:spacing w:before="400" w:after="120" w:line="264" w:lineRule="auto"/>
        <w:jc w:val="left"/>
        <w:pBdr>
          <w:bottom w:val="single" w:sz="6" w:space="4" w:color="2E5BFF"/>
        </w:pBdr>
      </w:pPr>
      <w:r>
        <w:rPr>
          <w:rFonts w:ascii="Helvetica" w:hAnsi="Helvetica" w:cs="Helvetica" w:eastAsia="Helvetica"/>
          <w:b/>
          <w:color w:val="1F2A52"/>
          <w:sz w:val="30"/>
        </w:rPr>
        <w:t>6. Requests</w:t>
      </w:r>
    </w:p>
    <w:p>
      <w:pPr>
        <w:spacing w:after="140" w:before="0" w:line="341" w:lineRule="auto"/>
        <w:jc w:val="both"/>
      </w:pPr>
      <w:r>
        <w:rPr>
          <w:rFonts w:ascii="Helvetica" w:hAnsi="Helvetica" w:cs="Helvetica" w:eastAsia="Helvetica"/>
          <w:b w:val="0"/>
          <w:i w:val="0"/>
          <w:color w:val="141618"/>
          <w:sz w:val="21"/>
        </w:rPr>
        <w:t>PTO is requested through the following procedure:</w:t>
      </w:r>
    </w:p>
    <w:p>
      <w:pPr>
        <w:spacing w:after="120" w:line="264" w:lineRule="auto" w:before="400"/>
        <w:ind w:left="504" w:hanging="504"/>
        <w:jc w:val="left"/>
        <w:pBdr>
          <w:bottom w:val="single" w:sz="6" w:space="4" w:color="2E5BFF"/>
        </w:pBdr>
      </w:pPr>
      <w:r>
        <w:rPr>
          <w:rFonts w:ascii="Helvetica" w:hAnsi="Helvetica" w:cs="Helvetica" w:eastAsia="Helvetica"/>
          <w:b/>
          <w:color w:val="1F2A52"/>
          <w:sz w:val="30"/>
        </w:rPr>
        <w:t xml:space="preserve">1. </w:t>
      </w:r>
      <w:r>
        <w:rPr>
          <w:rFonts w:ascii="Helvetica" w:hAnsi="Helvetica" w:cs="Helvetica" w:eastAsia="Helvetica"/>
          <w:b/>
          <w:color w:val="1F2A52"/>
          <w:sz w:val="30"/>
        </w:rPr>
        <w:t>Discuss with your manager first.</w:t>
      </w:r>
      <w:r>
        <w:rPr>
          <w:rFonts w:ascii="Helvetica" w:hAnsi="Helvetica" w:cs="Helvetica" w:eastAsia="Helvetica"/>
          <w:b/>
          <w:color w:val="1F2A52"/>
          <w:sz w:val="30"/>
        </w:rPr>
        <w:t xml:space="preserve"> Time off should be raised in a one-on-one or over email before it is entered into the HR system. Employees should give as much advance notice as they reasonably can. For any absence of three business days or more, at least two weeks of advance notice is expected absent an emergency.</w:t>
      </w:r>
    </w:p>
    <w:p>
      <w:pPr>
        <w:spacing w:after="120" w:line="264" w:lineRule="auto" w:before="400"/>
        <w:ind w:left="504" w:hanging="504"/>
        <w:jc w:val="left"/>
        <w:pBdr>
          <w:bottom w:val="single" w:sz="6" w:space="4" w:color="2E5BFF"/>
        </w:pBdr>
      </w:pPr>
      <w:r>
        <w:rPr>
          <w:rFonts w:ascii="Helvetica" w:hAnsi="Helvetica" w:cs="Helvetica" w:eastAsia="Helvetica"/>
          <w:b/>
          <w:color w:val="1F2A52"/>
          <w:sz w:val="30"/>
        </w:rPr>
        <w:t xml:space="preserve">2. </w:t>
      </w:r>
      <w:r>
        <w:rPr>
          <w:rFonts w:ascii="Helvetica" w:hAnsi="Helvetica" w:cs="Helvetica" w:eastAsia="Helvetica"/>
          <w:b/>
          <w:color w:val="1F2A52"/>
          <w:sz w:val="30"/>
        </w:rPr>
        <w:t>Enter the request in the HR system.</w:t>
      </w:r>
      <w:r>
        <w:rPr>
          <w:rFonts w:ascii="Helvetica" w:hAnsi="Helvetica" w:cs="Helvetica" w:eastAsia="Helvetica"/>
          <w:b/>
          <w:color w:val="1F2A52"/>
          <w:sz w:val="30"/>
        </w:rPr>
        <w:t xml:space="preserve"> Once the manager has verbally agreed, the employee enters the dates in the HR system’s time-off module and selects “PTO.” Half-day increments are permitted; smaller increments are not tracked.</w:t>
      </w:r>
    </w:p>
    <w:p>
      <w:pPr>
        <w:spacing w:after="120" w:line="264" w:lineRule="auto" w:before="400"/>
        <w:ind w:left="504" w:hanging="504"/>
        <w:jc w:val="left"/>
        <w:pBdr>
          <w:bottom w:val="single" w:sz="6" w:space="4" w:color="2E5BFF"/>
        </w:pBdr>
      </w:pPr>
      <w:r>
        <w:rPr>
          <w:rFonts w:ascii="Helvetica" w:hAnsi="Helvetica" w:cs="Helvetica" w:eastAsia="Helvetica"/>
          <w:b/>
          <w:color w:val="1F2A52"/>
          <w:sz w:val="30"/>
        </w:rPr>
        <w:t xml:space="preserve">3. </w:t>
      </w:r>
      <w:r>
        <w:rPr>
          <w:rFonts w:ascii="Helvetica" w:hAnsi="Helvetica" w:cs="Helvetica" w:eastAsia="Helvetica"/>
          <w:b/>
          <w:color w:val="1F2A52"/>
          <w:sz w:val="30"/>
        </w:rPr>
        <w:t>Manager approval.</w:t>
      </w:r>
      <w:r>
        <w:rPr>
          <w:rFonts w:ascii="Helvetica" w:hAnsi="Helvetica" w:cs="Helvetica" w:eastAsia="Helvetica"/>
          <w:b/>
          <w:color w:val="1F2A52"/>
          <w:sz w:val="30"/>
        </w:rPr>
        <w:t xml:space="preserve"> The manager approves or declines the request in the system within three business days. A request that is neither approved nor declined within that window may be escalated by the employee to the manager’s manager.</w:t>
      </w:r>
    </w:p>
    <w:p>
      <w:pPr>
        <w:spacing w:after="120" w:line="264" w:lineRule="auto" w:before="400"/>
        <w:ind w:left="504" w:hanging="504"/>
        <w:jc w:val="left"/>
        <w:pBdr>
          <w:bottom w:val="single" w:sz="6" w:space="4" w:color="2E5BFF"/>
        </w:pBdr>
      </w:pPr>
      <w:r>
        <w:rPr>
          <w:rFonts w:ascii="Helvetica" w:hAnsi="Helvetica" w:cs="Helvetica" w:eastAsia="Helvetica"/>
          <w:b/>
          <w:color w:val="1F2A52"/>
          <w:sz w:val="30"/>
        </w:rPr>
        <w:t xml:space="preserve">4. </w:t>
      </w:r>
      <w:r>
        <w:rPr>
          <w:rFonts w:ascii="Helvetica" w:hAnsi="Helvetica" w:cs="Helvetica" w:eastAsia="Helvetica"/>
          <w:b/>
          <w:color w:val="1F2A52"/>
          <w:sz w:val="30"/>
        </w:rPr>
        <w:t>Coverage plan.</w:t>
      </w:r>
      <w:r>
        <w:rPr>
          <w:rFonts w:ascii="Helvetica" w:hAnsi="Helvetica" w:cs="Helvetica" w:eastAsia="Helvetica"/>
          <w:b/>
          <w:color w:val="1F2A52"/>
          <w:sz w:val="30"/>
        </w:rPr>
        <w:t xml:space="preserve"> For any absence of three business days or more, the employee circulates a short coverage note to the team identifying who is covering which responsibilities and how urgent items should be routed during the absence.</w:t>
      </w:r>
    </w:p>
    <w:p>
      <w:pPr>
        <w:spacing w:after="120" w:line="264" w:lineRule="auto" w:before="400"/>
        <w:ind w:left="504" w:hanging="504"/>
        <w:jc w:val="left"/>
        <w:pBdr>
          <w:bottom w:val="single" w:sz="6" w:space="4" w:color="2E5BFF"/>
        </w:pBdr>
      </w:pPr>
      <w:r>
        <w:rPr>
          <w:rFonts w:ascii="Helvetica" w:hAnsi="Helvetica" w:cs="Helvetica" w:eastAsia="Helvetica"/>
          <w:b/>
          <w:color w:val="1F2A52"/>
          <w:sz w:val="30"/>
        </w:rPr>
        <w:t xml:space="preserve">5. </w:t>
      </w:r>
      <w:r>
        <w:rPr>
          <w:rFonts w:ascii="Helvetica" w:hAnsi="Helvetica" w:cs="Helvetica" w:eastAsia="Helvetica"/>
          <w:b/>
          <w:color w:val="1F2A52"/>
          <w:sz w:val="30"/>
        </w:rPr>
        <w:t>Changes and cancellations.</w:t>
      </w:r>
      <w:r>
        <w:rPr>
          <w:rFonts w:ascii="Helvetica" w:hAnsi="Helvetica" w:cs="Helvetica" w:eastAsia="Helvetica"/>
          <w:b/>
          <w:color w:val="1F2A52"/>
          <w:sz w:val="30"/>
        </w:rPr>
        <w:t xml:space="preserve"> Approved PTO that is cancelled before it is taken is returned to the balance. PTO that has already been taken cannot be reversed.</w:t>
      </w:r>
    </w:p>
    <w:p>
      <w:pPr>
        <w:spacing w:after="120" w:line="264" w:lineRule="auto" w:before="400"/>
        <w:ind w:left="504" w:hanging="504"/>
        <w:jc w:val="left"/>
        <w:pBdr>
          <w:bottom w:val="single" w:sz="6" w:space="4" w:color="2E5BFF"/>
        </w:pBdr>
      </w:pPr>
      <w:r>
        <w:rPr>
          <w:rFonts w:ascii="Helvetica" w:hAnsi="Helvetica" w:cs="Helvetica" w:eastAsia="Helvetica"/>
          <w:b/>
          <w:color w:val="1F2A52"/>
          <w:sz w:val="30"/>
        </w:rPr>
        <w:t xml:space="preserve">6. </w:t>
      </w:r>
      <w:r>
        <w:rPr>
          <w:rFonts w:ascii="Helvetica" w:hAnsi="Helvetica" w:cs="Helvetica" w:eastAsia="Helvetica"/>
          <w:b/>
          <w:color w:val="1F2A52"/>
          <w:sz w:val="30"/>
        </w:rPr>
        <w:t>Company-observed holidays.</w:t>
      </w:r>
      <w:r>
        <w:rPr>
          <w:rFonts w:ascii="Helvetica" w:hAnsi="Helvetica" w:cs="Helvetica" w:eastAsia="Helvetica"/>
          <w:b/>
          <w:color w:val="1F2A52"/>
          <w:sz w:val="30"/>
        </w:rPr>
        <w:t xml:space="preserve"> Company-observed holidays are separate from PTO and are not deducted from the PTO balance. The current holiday schedule is posted separately by the Office Manager.</w:t>
      </w:r>
    </w:p>
    <w:p>
      <w:pPr>
        <w:spacing w:after="140" w:before="0" w:line="341" w:lineRule="auto"/>
        <w:jc w:val="both"/>
      </w:pPr>
      <w:r>
        <w:rPr>
          <w:rFonts w:ascii="Helvetica" w:hAnsi="Helvetica" w:cs="Helvetica" w:eastAsia="Helvetica"/>
          <w:b w:val="0"/>
          <w:i w:val="0"/>
          <w:color w:val="141618"/>
          <w:sz w:val="21"/>
        </w:rPr>
        <w:t>Questions about balances, accrual timing, or the payout rule should be directed to the Office Manager.</w:t>
      </w:r>
    </w:p>
    <w:p>
      <w:pPr>
        <w:spacing w:after="40" w:before="0" w:line="341" w:lineRule="auto"/>
        <w:pBdr>
          <w:bottom w:val="single" w:sz="6" w:space="1" w:color="888888"/>
        </w:pBdr>
        <w:jc w:val="left"/>
      </w:pPr>
    </w:p>
    <w:p>
      <w:pPr>
        <w:spacing w:after="0" w:before="240" w:line="288" w:lineRule="auto"/>
        <w:jc w:val="left"/>
      </w:pPr>
      <w:r>
        <w:rPr>
          <w:rFonts w:ascii="Helvetica" w:hAnsi="Helvetica" w:cs="Helvetica" w:eastAsia="Helvetica"/>
          <w:b/>
          <w:i w:val="0"/>
          <w:color w:val="141618"/>
          <w:sz w:val="22"/>
        </w:rPr>
        <w:t>Grayson Oshimoto</w:t>
      </w:r>
    </w:p>
    <w:p>
      <w:pPr>
        <w:spacing w:after="0" w:before="0" w:line="288" w:lineRule="auto"/>
        <w:jc w:val="left"/>
      </w:pPr>
      <w:r>
        <w:rPr>
          <w:rFonts w:ascii="Helvetica" w:hAnsi="Helvetica" w:cs="Helvetica" w:eastAsia="Helvetica"/>
          <w:b w:val="0"/>
          <w:i w:val="0"/>
          <w:color w:val="6B7280"/>
          <w:sz w:val="20"/>
        </w:rPr>
        <w:t>Office Manager</w:t>
      </w:r>
    </w:p>
    <w:p>
      <w:pPr>
        <w:spacing w:after="0" w:before="40" w:line="288" w:lineRule="auto"/>
        <w:jc w:val="left"/>
      </w:pPr>
      <w:r>
        <w:rPr>
          <w:rFonts w:ascii="Helvetica" w:hAnsi="Helvetica" w:cs="Helvetica" w:eastAsia="Helvetica"/>
          <w:b w:val="0"/>
          <w:i w:val="0"/>
          <w:color w:val="6B7280"/>
          <w:sz w:val="20"/>
        </w:rPr>
        <w:t>Troutly Analytics, Inc.</w:t>
      </w:r>
    </w:p>
    <w:p>
      <w:pPr>
        <w:spacing w:after="0" w:before="0" w:line="288" w:lineRule="auto"/>
        <w:jc w:val="left"/>
      </w:pPr>
      <w:r>
        <w:rPr>
          <w:rFonts w:ascii="Helvetica" w:hAnsi="Helvetica" w:cs="Helvetica" w:eastAsia="Helvetica"/>
          <w:b w:val="0"/>
          <w:i w:val="0"/>
          <w:color w:val="6B7280"/>
          <w:sz w:val="20"/>
        </w:rPr>
        <w:t>January 2025</w:t>
      </w:r>
    </w:p>
    <w:p>
      <w:pPr>
        <w:spacing w:after="280" w:before="40" w:line="288" w:lineRule="auto"/>
        <w:jc w:val="left"/>
      </w:pPr>
      <w:r>
        <w:rPr>
          <w:rFonts w:ascii="Helvetica" w:hAnsi="Helvetica" w:cs="Helvetica" w:eastAsia="Helvetica"/>
          <w:b w:val="0"/>
          <w:i/>
          <w:color w:val="6B7280"/>
          <w:sz w:val="18"/>
        </w:rPr>
        <w:t>Reviewed and confirmed current, July 2026, GO</w:t>
      </w:r>
    </w:p>
    <w:sectPr w:rsidR="00FC693F" w:rsidRPr="0006063C" w:rsidSect="00034616">
      <w:pgSz w:w="12240" w:h="15840"/>
      <w:pgMar w:top="1296"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341" w:lineRule="auto"/>
      <w:jc w:val="both"/>
    </w:pPr>
    <w:rPr>
      <w:rFonts w:ascii="Helvetica" w:hAnsi="Helvetica"/>
      <w:color w:val="14161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16.0300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revision>1</cp:revision>
  <cp:category/>
  <dc:creator xmlns:dc="http://purl.org/dc/elements/1.1/">Grayson Oshimoto</dc:creator>
  <cp:lastModifiedBy>Grayson Oshimoto</cp:lastModifiedBy>
</cp:coreProperties>
</file>