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Updated Report: ICT University Yaounde - SRS Analysis and Academic/Structural Details</w:t>
      </w:r>
    </w:p>
    <w:p>
      <w:pPr>
        <w:pStyle w:val="Heading2"/>
        <w:pStyle w:val="MdHeading2"/>
      </w:pPr>
      <w:r>
        <w:t xml:space="preserve">Introduction</w:t>
      </w:r>
    </w:p>
    <w:p>
      <w:pPr>
        <w:pStyle w:val="MdParagraph"/>
      </w:pPr>
      <w:r>
        <w:t xml:space="preserve">This report builds upon the initial analysis of the ICT University Yaounde, incorporating insights from the provided Software Requirements Specification (SRS) document for "The ICTU Community" mobile application. The aim is to provide specific academic and structural details necessary to refine the application's features for both student and lecturer roles, addressing the user's concerns regarding course and semester structure, administrative workflow, student management, and faculty operations.</w:t>
      </w:r>
    </w:p>
    <w:p>
      <w:pPr>
        <w:pStyle w:val="MdSpace"/>
        <w:spacing w:before="0" w:after="60"/>
      </w:pPr>
    </w:p>
    <w:p>
      <w:pPr>
        <w:pStyle w:val="Heading2"/>
        <w:pStyle w:val="MdHeading2"/>
      </w:pPr>
      <w:r>
        <w:t xml:space="preserve">1. Academic Structure and Course Details</w:t>
      </w:r>
    </w:p>
    <w:p>
      <w:pPr>
        <w:pStyle w:val="Heading3"/>
        <w:pStyle w:val="MdHeading3"/>
      </w:pPr>
      <w:r>
        <w:t xml:space="preserve">1.1 Semester Structure</w:t>
      </w:r>
    </w:p>
    <w:p>
      <w:pPr>
        <w:pStyle w:val="MdParagraph"/>
      </w:pPr>
      <w:r>
        <w:t xml:space="preserve">The ICT University operates on a trimester system, with three main semesters: Fall, Spring, and Summer [1].</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Semester</w:t>
            </w:r>
          </w:p>
        </w:tc>
        <w:tc>
          <w:tcPr>
            <w:tcMar>
              <w:top w:type="dxa" w:w="100"/>
              <w:left w:type="dxa" w:w="120"/>
              <w:bottom w:type="dxa" w:w="100"/>
              <w:right w:type="dxa" w:w="120"/>
            </w:tcMar>
            <w:vAlign w:val="center"/>
          </w:tcPr>
          <w:p>
            <w:pPr>
              <w:pStyle w:val="MdTableHeader"/>
            </w:pPr>
            <w:r>
              <w:t xml:space="preserve">Activity</w:t>
            </w:r>
          </w:p>
        </w:tc>
        <w:tc>
          <w:tcPr>
            <w:tcBorders>
              <w:right w:val="none"/>
            </w:tcBorders>
            <w:tcMar>
              <w:top w:type="dxa" w:w="100"/>
              <w:left w:type="dxa" w:w="120"/>
              <w:bottom w:type="dxa" w:w="100"/>
              <w:right w:type="dxa" w:w="120"/>
            </w:tcMar>
            <w:vAlign w:val="center"/>
          </w:tcPr>
          <w:p>
            <w:pPr>
              <w:pStyle w:val="MdTableHeader"/>
            </w:pPr>
            <w:r>
              <w:t xml:space="preserve">Duration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Fall</w:t>
            </w:r>
          </w:p>
        </w:tc>
        <w:tc>
          <w:tcPr>
            <w:tcMar>
              <w:top w:type="dxa" w:w="80"/>
              <w:left w:type="dxa" w:w="120"/>
              <w:bottom w:type="dxa" w:w="80"/>
              <w:right w:type="dxa" w:w="120"/>
            </w:tcMar>
            <w:vAlign w:val="center"/>
          </w:tcPr>
          <w:p>
            <w:pPr>
              <w:pStyle w:val="MdTableCell"/>
            </w:pPr>
            <w:r>
              <w:t xml:space="preserve">Coursework/Lectures</w:t>
            </w:r>
          </w:p>
        </w:tc>
        <w:tc>
          <w:tcPr>
            <w:tcBorders>
              <w:right w:val="none"/>
            </w:tcBorders>
            <w:tcMar>
              <w:top w:type="dxa" w:w="80"/>
              <w:left w:type="dxa" w:w="120"/>
              <w:bottom w:type="dxa" w:w="80"/>
              <w:right w:type="dxa" w:w="120"/>
            </w:tcMar>
            <w:vAlign w:val="center"/>
          </w:tcPr>
          <w:p>
            <w:pPr>
              <w:pStyle w:val="MdTableCell"/>
            </w:pPr>
            <w:r>
              <w:t xml:space="preserve">12 Weeks (October - January)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Examination</w:t>
            </w:r>
          </w:p>
        </w:tc>
        <w:tc>
          <w:tcPr>
            <w:tcBorders>
              <w:right w:val="none"/>
            </w:tcBorders>
            <w:tcMar>
              <w:top w:type="dxa" w:w="80"/>
              <w:left w:type="dxa" w:w="120"/>
              <w:bottom w:type="dxa" w:w="80"/>
              <w:right w:type="dxa" w:w="120"/>
            </w:tcMar>
            <w:vAlign w:val="center"/>
          </w:tcPr>
          <w:p>
            <w:pPr>
              <w:pStyle w:val="MdTableCell"/>
            </w:pPr>
            <w:r>
              <w:t xml:space="preserve">January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Spring</w:t>
            </w:r>
          </w:p>
        </w:tc>
        <w:tc>
          <w:tcPr>
            <w:tcMar>
              <w:top w:type="dxa" w:w="80"/>
              <w:left w:type="dxa" w:w="120"/>
              <w:bottom w:type="dxa" w:w="80"/>
              <w:right w:type="dxa" w:w="120"/>
            </w:tcMar>
            <w:vAlign w:val="center"/>
          </w:tcPr>
          <w:p>
            <w:pPr>
              <w:pStyle w:val="MdTableCell"/>
            </w:pPr>
            <w:r>
              <w:t xml:space="preserve">Coursework/Lectures</w:t>
            </w:r>
          </w:p>
        </w:tc>
        <w:tc>
          <w:tcPr>
            <w:tcBorders>
              <w:right w:val="none"/>
            </w:tcBorders>
            <w:tcMar>
              <w:top w:type="dxa" w:w="80"/>
              <w:left w:type="dxa" w:w="120"/>
              <w:bottom w:type="dxa" w:w="80"/>
              <w:right w:type="dxa" w:w="120"/>
            </w:tcMar>
            <w:vAlign w:val="center"/>
          </w:tcPr>
          <w:p>
            <w:pPr>
              <w:pStyle w:val="MdTableCell"/>
            </w:pPr>
            <w:r>
              <w:t xml:space="preserve">12 Weeks (February - May)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Examination</w:t>
            </w:r>
          </w:p>
        </w:tc>
        <w:tc>
          <w:tcPr>
            <w:tcBorders>
              <w:right w:val="none"/>
            </w:tcBorders>
            <w:tcMar>
              <w:top w:type="dxa" w:w="80"/>
              <w:left w:type="dxa" w:w="120"/>
              <w:bottom w:type="dxa" w:w="80"/>
              <w:right w:type="dxa" w:w="120"/>
            </w:tcMar>
            <w:vAlign w:val="center"/>
          </w:tcPr>
          <w:p>
            <w:pPr>
              <w:pStyle w:val="MdTableCell"/>
            </w:pPr>
            <w:r>
              <w:t xml:space="preserve">May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Summer</w:t>
            </w:r>
          </w:p>
        </w:tc>
        <w:tc>
          <w:tcPr>
            <w:tcMar>
              <w:top w:type="dxa" w:w="80"/>
              <w:left w:type="dxa" w:w="120"/>
              <w:bottom w:type="dxa" w:w="80"/>
              <w:right w:type="dxa" w:w="120"/>
            </w:tcMar>
            <w:vAlign w:val="center"/>
          </w:tcPr>
          <w:p>
            <w:pPr>
              <w:pStyle w:val="MdTableCell"/>
            </w:pPr>
            <w:r>
              <w:t xml:space="preserve">Coursework/Lectures</w:t>
            </w:r>
          </w:p>
        </w:tc>
        <w:tc>
          <w:tcPr>
            <w:tcBorders>
              <w:right w:val="none"/>
            </w:tcBorders>
            <w:tcMar>
              <w:top w:type="dxa" w:w="80"/>
              <w:left w:type="dxa" w:w="120"/>
              <w:bottom w:type="dxa" w:w="80"/>
              <w:right w:type="dxa" w:w="120"/>
            </w:tcMar>
            <w:vAlign w:val="center"/>
          </w:tcPr>
          <w:p>
            <w:pPr>
              <w:pStyle w:val="MdTableCell"/>
            </w:pPr>
            <w:r>
              <w:t xml:space="preserve">9 Weeks (June - August)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p>
        </w:tc>
        <w:tc>
          <w:tcPr>
            <w:tcBorders>
              <w:bottom w:val="single" w:color="E1E4E8" w:sz="4"/>
            </w:tcBorders>
            <w:tcMar>
              <w:top w:type="dxa" w:w="80"/>
              <w:left w:type="dxa" w:w="120"/>
              <w:bottom w:type="dxa" w:w="80"/>
              <w:right w:type="dxa" w:w="120"/>
            </w:tcMar>
            <w:vAlign w:val="center"/>
          </w:tcPr>
          <w:p>
            <w:pPr>
              <w:pStyle w:val="MdTableCell"/>
            </w:pPr>
            <w:r>
              <w:t xml:space="preserve">Examination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August - September</w:t>
            </w:r>
          </w:p>
        </w:tc>
      </w:tr>
    </w:tbl>
    <w:p>
      <w:pPr>
        <w:pStyle w:val="Heading3"/>
        <w:pStyle w:val="MdHeading3"/>
      </w:pPr>
      <w:r>
        <w:t xml:space="preserve">1.2 Course Credits and Structure</w:t>
      </w:r>
    </w:p>
    <w:p>
      <w:pPr>
        <w:pStyle w:val="MdParagraph"/>
      </w:pPr>
      <w:r>
        <w:t xml:space="preserve">Based on the user's input, each course at ICT University carries </w:t>
      </w:r>
      <w:r>
        <w:rPr>
          <w:rStyle w:val="MdStrong"/>
          <w:b/>
          <w:bCs/>
        </w:rPr>
        <w:t xml:space="preserve">6 credits</w:t>
      </w:r>
      <w:r>
        <w:t xml:space="preserve">, with a total of </w:t>
      </w:r>
      <w:r>
        <w:rPr>
          <w:rStyle w:val="MdStrong"/>
          <w:b/>
          <w:bCs/>
        </w:rPr>
        <w:t xml:space="preserve">36 credits</w:t>
      </w:r>
      <w:r>
        <w:t xml:space="preserve"> per semester. This implies that students typically undertake 6 courses per semester (6 courses * 6 credits/course = 36 credits). While a detailed, publicly available course catalog with specific course codes and titles for each level (100-400) and semester was not found, the university offers various Bachelor of Science programs, including Software Engineering and ICT [3, 4].</w:t>
      </w:r>
    </w:p>
    <w:p>
      <w:pPr>
        <w:pStyle w:val="MdSpace"/>
        <w:spacing w:before="0" w:after="60"/>
      </w:pPr>
    </w:p>
    <w:p>
      <w:pPr>
        <w:pStyle w:val="MdParagraph"/>
      </w:pPr>
      <w:r>
        <w:t xml:space="preserve">For example, a typical undergraduate program might follow a structure similar to this (illustrative, actual courses need to be confirmed with the university):</w:t>
      </w:r>
    </w:p>
    <w:p>
      <w:pPr>
        <w:pStyle w:val="MdSpace"/>
        <w:spacing w:before="0" w:after="60"/>
      </w:pPr>
    </w:p>
    <w:p>
      <w:pPr>
        <w:pStyle w:val="MdParagraph"/>
      </w:pPr>
      <w:r>
        <w:rPr>
          <w:rStyle w:val="MdStrong"/>
          <w:b/>
          <w:bCs/>
        </w:rPr>
        <w:t xml:space="preserve">Illustrative Course Structure (e.g., Bachelor of Science in Software Engineering)</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Level</w:t>
            </w:r>
          </w:p>
        </w:tc>
        <w:tc>
          <w:tcPr>
            <w:tcMar>
              <w:top w:type="dxa" w:w="100"/>
              <w:left w:type="dxa" w:w="120"/>
              <w:bottom w:type="dxa" w:w="100"/>
              <w:right w:type="dxa" w:w="120"/>
            </w:tcMar>
            <w:vAlign w:val="center"/>
          </w:tcPr>
          <w:p>
            <w:pPr>
              <w:pStyle w:val="MdTableHeader"/>
            </w:pPr>
            <w:r>
              <w:t xml:space="preserve">Semester</w:t>
            </w:r>
          </w:p>
        </w:tc>
        <w:tc>
          <w:tcPr>
            <w:tcBorders>
              <w:right w:val="none"/>
            </w:tcBorders>
            <w:tcMar>
              <w:top w:type="dxa" w:w="100"/>
              <w:left w:type="dxa" w:w="120"/>
              <w:bottom w:type="dxa" w:w="100"/>
              <w:right w:type="dxa" w:w="120"/>
            </w:tcMar>
            <w:vAlign w:val="center"/>
          </w:tcPr>
          <w:p>
            <w:pPr>
              <w:pStyle w:val="MdTableHeader"/>
            </w:pPr>
            <w:r>
              <w:t xml:space="preserve">Illustrative Courses (6 credits each)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Year 1 (Level 100)</w:t>
            </w:r>
          </w:p>
        </w:tc>
        <w:tc>
          <w:tcPr>
            <w:tcMar>
              <w:top w:type="dxa" w:w="80"/>
              <w:left w:type="dxa" w:w="120"/>
              <w:bottom w:type="dxa" w:w="80"/>
              <w:right w:type="dxa" w:w="120"/>
            </w:tcMar>
            <w:vAlign w:val="center"/>
          </w:tcPr>
          <w:p>
            <w:pPr>
              <w:pStyle w:val="MdTableCell"/>
            </w:pPr>
            <w:r>
              <w:rPr>
                <w:rStyle w:val="MdStrong"/>
                <w:b/>
                <w:bCs/>
              </w:rPr>
              <w:t xml:space="preserve">Fall</w:t>
            </w:r>
          </w:p>
        </w:tc>
        <w:tc>
          <w:tcPr>
            <w:tcBorders>
              <w:right w:val="none"/>
            </w:tcBorders>
            <w:tcMar>
              <w:top w:type="dxa" w:w="80"/>
              <w:left w:type="dxa" w:w="120"/>
              <w:bottom w:type="dxa" w:w="80"/>
              <w:right w:type="dxa" w:w="120"/>
            </w:tcMar>
            <w:vAlign w:val="center"/>
          </w:tcPr>
          <w:p>
            <w:pPr>
              <w:pStyle w:val="MdTableCell"/>
            </w:pPr>
            <w:r>
              <w:t xml:space="preserve">Introduction to Programming, Discrete Mathematics, Computer Fundamentals, English Communication, Academic Writing, Introduction to Software Engineering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rPr>
                <w:rStyle w:val="MdStrong"/>
                <w:b/>
                <w:bCs/>
              </w:rPr>
              <w:t xml:space="preserve">Spring</w:t>
            </w:r>
          </w:p>
        </w:tc>
        <w:tc>
          <w:tcPr>
            <w:tcBorders>
              <w:right w:val="none"/>
            </w:tcBorders>
            <w:tcMar>
              <w:top w:type="dxa" w:w="80"/>
              <w:left w:type="dxa" w:w="120"/>
              <w:bottom w:type="dxa" w:w="80"/>
              <w:right w:type="dxa" w:w="120"/>
            </w:tcMar>
            <w:vAlign w:val="center"/>
          </w:tcPr>
          <w:p>
            <w:pPr>
              <w:pStyle w:val="MdTableCell"/>
            </w:pPr>
            <w:r>
              <w:t xml:space="preserve">Object-Oriented Programming, Data Structures, Web Development Fundamentals, Calculus for Computing, Digital Logic Design, Computer Architecture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rPr>
                <w:rStyle w:val="MdStrong"/>
                <w:b/>
                <w:bCs/>
              </w:rPr>
              <w:t xml:space="preserve">Summer</w:t>
            </w:r>
          </w:p>
        </w:tc>
        <w:tc>
          <w:tcPr>
            <w:tcBorders>
              <w:right w:val="none"/>
            </w:tcBorders>
            <w:tcMar>
              <w:top w:type="dxa" w:w="80"/>
              <w:left w:type="dxa" w:w="120"/>
              <w:bottom w:type="dxa" w:w="80"/>
              <w:right w:type="dxa" w:w="120"/>
            </w:tcMar>
            <w:vAlign w:val="center"/>
          </w:tcPr>
          <w:p>
            <w:pPr>
              <w:pStyle w:val="MdTableCell"/>
            </w:pPr>
            <w:r>
              <w:t xml:space="preserve">Introduction to Databases, Operating Systems Concepts, Elective 1, Elective 2, Elective 3, Elective 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Year 2 (Level 200)</w:t>
            </w:r>
          </w:p>
        </w:tc>
        <w:tc>
          <w:tcPr>
            <w:tcMar>
              <w:top w:type="dxa" w:w="80"/>
              <w:left w:type="dxa" w:w="120"/>
              <w:bottom w:type="dxa" w:w="80"/>
              <w:right w:type="dxa" w:w="120"/>
            </w:tcMar>
            <w:vAlign w:val="center"/>
          </w:tcPr>
          <w:p>
            <w:pPr>
              <w:pStyle w:val="MdTableCell"/>
            </w:pPr>
            <w:r>
              <w:rPr>
                <w:rStyle w:val="MdStrong"/>
                <w:b/>
                <w:bCs/>
              </w:rPr>
              <w:t xml:space="preserve">Fall</w:t>
            </w:r>
          </w:p>
        </w:tc>
        <w:tc>
          <w:tcPr>
            <w:tcBorders>
              <w:right w:val="none"/>
            </w:tcBorders>
            <w:tcMar>
              <w:top w:type="dxa" w:w="80"/>
              <w:left w:type="dxa" w:w="120"/>
              <w:bottom w:type="dxa" w:w="80"/>
              <w:right w:type="dxa" w:w="120"/>
            </w:tcMar>
            <w:vAlign w:val="center"/>
          </w:tcPr>
          <w:p>
            <w:pPr>
              <w:pStyle w:val="MdTableCell"/>
            </w:pPr>
            <w:r>
              <w:t xml:space="preserve">Advanced Programming, Algorithms, Software Requirements Engineering, Network Fundamentals, Probability and Statistics, Human-Computer Interaction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rPr>
                <w:rStyle w:val="MdStrong"/>
                <w:b/>
                <w:bCs/>
              </w:rPr>
              <w:t xml:space="preserve">Spring</w:t>
            </w:r>
          </w:p>
        </w:tc>
        <w:tc>
          <w:tcPr>
            <w:tcBorders>
              <w:right w:val="none"/>
            </w:tcBorders>
            <w:tcMar>
              <w:top w:type="dxa" w:w="80"/>
              <w:left w:type="dxa" w:w="120"/>
              <w:bottom w:type="dxa" w:w="80"/>
              <w:right w:type="dxa" w:w="120"/>
            </w:tcMar>
            <w:vAlign w:val="center"/>
          </w:tcPr>
          <w:p>
            <w:pPr>
              <w:pStyle w:val="MdTableCell"/>
            </w:pPr>
            <w:r>
              <w:t xml:space="preserve">Database Management Systems, Software Design and Architecture, Data Communications, Professional Ethics in IT, Linear Algebra, Elective 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rPr>
                <w:rStyle w:val="MdStrong"/>
                <w:b/>
                <w:bCs/>
              </w:rPr>
              <w:t xml:space="preserve">Summer</w:t>
            </w:r>
          </w:p>
        </w:tc>
        <w:tc>
          <w:tcPr>
            <w:tcBorders>
              <w:right w:val="none"/>
            </w:tcBorders>
            <w:tcMar>
              <w:top w:type="dxa" w:w="80"/>
              <w:left w:type="dxa" w:w="120"/>
              <w:bottom w:type="dxa" w:w="80"/>
              <w:right w:type="dxa" w:w="120"/>
            </w:tcMar>
            <w:vAlign w:val="center"/>
          </w:tcPr>
          <w:p>
            <w:pPr>
              <w:pStyle w:val="MdTableCell"/>
            </w:pPr>
            <w:r>
              <w:t xml:space="preserve">Mobile Application Development, Cloud Computing, Elective 6, Elective 7, Elective 8, Elective 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Year 3 (Level 300)</w:t>
            </w:r>
          </w:p>
        </w:tc>
        <w:tc>
          <w:tcPr>
            <w:tcMar>
              <w:top w:type="dxa" w:w="80"/>
              <w:left w:type="dxa" w:w="120"/>
              <w:bottom w:type="dxa" w:w="80"/>
              <w:right w:type="dxa" w:w="120"/>
            </w:tcMar>
            <w:vAlign w:val="center"/>
          </w:tcPr>
          <w:p>
            <w:pPr>
              <w:pStyle w:val="MdTableCell"/>
            </w:pPr>
            <w:r>
              <w:rPr>
                <w:rStyle w:val="MdStrong"/>
                <w:b/>
                <w:bCs/>
              </w:rPr>
              <w:t xml:space="preserve">Fall</w:t>
            </w:r>
          </w:p>
        </w:tc>
        <w:tc>
          <w:tcPr>
            <w:tcBorders>
              <w:right w:val="none"/>
            </w:tcBorders>
            <w:tcMar>
              <w:top w:type="dxa" w:w="80"/>
              <w:left w:type="dxa" w:w="120"/>
              <w:bottom w:type="dxa" w:w="80"/>
              <w:right w:type="dxa" w:w="120"/>
            </w:tcMar>
            <w:vAlign w:val="center"/>
          </w:tcPr>
          <w:p>
            <w:pPr>
              <w:pStyle w:val="MdTableCell"/>
            </w:pPr>
            <w:r>
              <w:t xml:space="preserve">Software Testing and Quality Assurance, Project Management, Artificial Intelligence, Information Security, Research Methods, Elective 10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rPr>
                <w:rStyle w:val="MdStrong"/>
                <w:b/>
                <w:bCs/>
              </w:rPr>
              <w:t xml:space="preserve">Spring</w:t>
            </w:r>
          </w:p>
        </w:tc>
        <w:tc>
          <w:tcPr>
            <w:tcBorders>
              <w:right w:val="none"/>
            </w:tcBorders>
            <w:tcMar>
              <w:top w:type="dxa" w:w="80"/>
              <w:left w:type="dxa" w:w="120"/>
              <w:bottom w:type="dxa" w:w="80"/>
              <w:right w:type="dxa" w:w="120"/>
            </w:tcMar>
            <w:vAlign w:val="center"/>
          </w:tcPr>
          <w:p>
            <w:pPr>
              <w:pStyle w:val="MdTableCell"/>
            </w:pPr>
            <w:r>
              <w:t xml:space="preserve">Distributed Systems, Machine Learning, Advanced Web Technologies, Entrepreneurship in IT, Technical Writing, Elective 11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rPr>
                <w:rStyle w:val="MdStrong"/>
                <w:b/>
                <w:bCs/>
              </w:rPr>
              <w:t xml:space="preserve">Summer</w:t>
            </w:r>
          </w:p>
        </w:tc>
        <w:tc>
          <w:tcPr>
            <w:tcBorders>
              <w:right w:val="none"/>
            </w:tcBorders>
            <w:tcMar>
              <w:top w:type="dxa" w:w="80"/>
              <w:left w:type="dxa" w:w="120"/>
              <w:bottom w:type="dxa" w:w="80"/>
              <w:right w:type="dxa" w:w="120"/>
            </w:tcMar>
            <w:vAlign w:val="center"/>
          </w:tcPr>
          <w:p>
            <w:pPr>
              <w:pStyle w:val="MdTableCell"/>
            </w:pPr>
            <w:r>
              <w:t xml:space="preserve">Internship/Project I, Elective 12, Elective 13, Elective 14, Elective 15, Elective 16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Year 4 (Level 400)</w:t>
            </w:r>
          </w:p>
        </w:tc>
        <w:tc>
          <w:tcPr>
            <w:tcMar>
              <w:top w:type="dxa" w:w="80"/>
              <w:left w:type="dxa" w:w="120"/>
              <w:bottom w:type="dxa" w:w="80"/>
              <w:right w:type="dxa" w:w="120"/>
            </w:tcMar>
            <w:vAlign w:val="center"/>
          </w:tcPr>
          <w:p>
            <w:pPr>
              <w:pStyle w:val="MdTableCell"/>
            </w:pPr>
            <w:r>
              <w:rPr>
                <w:rStyle w:val="MdStrong"/>
                <w:b/>
                <w:bCs/>
              </w:rPr>
              <w:t xml:space="preserve">Fall</w:t>
            </w:r>
          </w:p>
        </w:tc>
        <w:tc>
          <w:tcPr>
            <w:tcBorders>
              <w:right w:val="none"/>
            </w:tcBorders>
            <w:tcMar>
              <w:top w:type="dxa" w:w="80"/>
              <w:left w:type="dxa" w:w="120"/>
              <w:bottom w:type="dxa" w:w="80"/>
              <w:right w:type="dxa" w:w="120"/>
            </w:tcMar>
            <w:vAlign w:val="center"/>
          </w:tcPr>
          <w:p>
            <w:pPr>
              <w:pStyle w:val="MdTableCell"/>
            </w:pPr>
            <w:r>
              <w:t xml:space="preserve">Software Project Management, Advanced Database Systems, Data Science, Cyber Security, Capstone Project I, Elective 17</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Spring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Software Evolution and Maintenance, Big Data Analytics, Cloud Security, Ethical Hacking, Capstone Project II, Elective 18</w:t>
            </w:r>
          </w:p>
        </w:tc>
      </w:tr>
    </w:tbl>
    <w:p>
      <w:pPr>
        <w:pStyle w:val="MdParagraph"/>
      </w:pPr>
      <w:r>
        <w:rPr>
          <w:rStyle w:val="MdEm"/>
          <w:i/>
          <w:iCs/>
        </w:rPr>
        <w:t xml:space="preserve">Note: The specific course titles and their allocation per semester are illustrative and require official confirmation from ICT University Yaounde. However, the structure of 6 courses per semester, each carrying 6 credits, leading to 36 credits per semester, is based on the user's provided information.</w:t>
      </w:r>
      <w:r>
        <w:t xml:space="preserve"> [User Provided Information]</w:t>
      </w:r>
    </w:p>
    <w:p>
      <w:pPr>
        <w:pStyle w:val="MdSpace"/>
        <w:spacing w:before="0" w:after="60"/>
      </w:pPr>
    </w:p>
    <w:p>
      <w:pPr>
        <w:pStyle w:val="Heading2"/>
        <w:pStyle w:val="MdHeading2"/>
      </w:pPr>
      <w:r>
        <w:t xml:space="preserve">2. Administrative Structure and Interconnected Tasks</w:t>
      </w:r>
    </w:p>
    <w:p>
      <w:pPr>
        <w:pStyle w:val="MdParagraph"/>
      </w:pPr>
      <w:r>
        <w:t xml:space="preserve">The university's administration is organized to support academic and student services, with departments performing interconnected tasks.</w:t>
      </w:r>
    </w:p>
    <w:p>
      <w:pPr>
        <w:pStyle w:val="MdSpace"/>
        <w:spacing w:before="0" w:after="60"/>
      </w:pPr>
    </w:p>
    <w:p>
      <w:pPr>
        <w:pStyle w:val="Heading3"/>
        <w:pStyle w:val="MdHeading3"/>
      </w:pPr>
      <w:r>
        <w:t xml:space="preserve">2.1 Key Administrative Departments and Their Workflow</w:t>
      </w:r>
    </w:p>
    <w:p>
      <w:pPr>
        <w:pStyle w:val="MdListItem"/>
        <w:numPr>
          <w:ilvl w:val="0"/>
          <w:numId w:val="2"/>
        </w:numPr>
      </w:pPr>
      <w:r>
        <w:rPr>
          <w:rStyle w:val="MdStrong"/>
          <w:b/>
          <w:bCs/>
        </w:rPr>
        <w:t xml:space="preserve">Registrar's Office</w:t>
      </w:r>
      <w:r>
        <w:t xml:space="preserve">: This office is central to academic record-keeping and student progression. It handles enrollment reporting, publishes academic results and graduation lists, and issues official academic documents like transcripts and certificates. It also manages student petitions and appeals [2].</w:t>
      </w:r>
    </w:p>
    <w:p>
      <w:pPr>
        <w:pStyle w:val="MdListItem"/>
        <w:numPr>
          <w:ilvl w:val="0"/>
          <w:numId w:val="2"/>
        </w:numPr>
      </w:pPr>
      <w:r>
        <w:rPr>
          <w:rStyle w:val="MdStrong"/>
          <w:b/>
          <w:bCs/>
        </w:rPr>
        <w:t xml:space="preserve">Admissions Department</w:t>
      </w:r>
      <w:r>
        <w:t xml:space="preserve">: Responsible for the initial intake of students, including managing online applications, verifying submitted documents, and entering new student data into the university system [5]. This department's work directly feeds into the Registrar's Office for student record creation.</w:t>
      </w:r>
    </w:p>
    <w:p>
      <w:pPr>
        <w:pStyle w:val="MdListItem"/>
        <w:numPr>
          <w:ilvl w:val="0"/>
          <w:numId w:val="2"/>
        </w:numPr>
      </w:pPr>
      <w:r>
        <w:rPr>
          <w:rStyle w:val="MdStrong"/>
          <w:b/>
          <w:bCs/>
        </w:rPr>
        <w:t xml:space="preserve">Finance Office</w:t>
      </w:r>
      <w:r>
        <w:t xml:space="preserve">: Manages all financial transactions, including tuition fees and other payments. Students must submit proof of payment (bank receipts) to this office for financial clearance [6]. Financial clearance is a prerequisite for academic clearance from the Registrar's Office.</w:t>
      </w:r>
    </w:p>
    <w:p>
      <w:pPr>
        <w:pStyle w:val="MdListItem"/>
        <w:numPr>
          <w:ilvl w:val="0"/>
          <w:numId w:val="2"/>
        </w:numPr>
      </w:pPr>
      <w:r>
        <w:rPr>
          <w:rStyle w:val="MdStrong"/>
          <w:b/>
          <w:bCs/>
        </w:rPr>
        <w:t xml:space="preserve">Quality Assurance and Ethics</w:t>
      </w:r>
      <w:r>
        <w:t xml:space="preserve">: This department ensures the quality of academic programs and ethical conduct. It influences curriculum development and teaching methodologies, impacting lecturers' course delivery [7].</w:t>
      </w:r>
    </w:p>
    <w:p>
      <w:pPr>
        <w:pStyle w:val="MdSpace"/>
        <w:spacing w:before="0" w:after="60"/>
      </w:pPr>
    </w:p>
    <w:p>
      <w:pPr>
        <w:pStyle w:val="MdParagraph"/>
      </w:pPr>
      <w:r>
        <w:rPr>
          <w:rStyle w:val="MdStrong"/>
          <w:b/>
          <w:bCs/>
        </w:rPr>
        <w:t xml:space="preserve">Interconnection</w:t>
      </w:r>
      <w:r>
        <w:t xml:space="preserve">: The student's journey from admission to graduation involves sequential interactions between these departments. For instance, a student cannot receive academic documents from the Registrar's Office without financial clearance from the Finance Office.</w:t>
      </w:r>
    </w:p>
    <w:p>
      <w:pPr>
        <w:pStyle w:val="MdSpace"/>
        <w:spacing w:before="0" w:after="60"/>
      </w:pPr>
    </w:p>
    <w:p>
      <w:pPr>
        <w:pStyle w:val="Heading2"/>
        <w:pStyle w:val="MdHeading2"/>
      </w:pPr>
      <w:r>
        <w:t xml:space="preserve">3. Student Management</w:t>
      </w:r>
    </w:p>
    <w:p>
      <w:pPr>
        <w:pStyle w:val="MdParagraph"/>
      </w:pPr>
      <w:r>
        <w:t xml:space="preserve">Student management at ICT University Yaounde encompasses the entire student lifecycle, from registration to academic progression and document acquisition.</w:t>
      </w:r>
    </w:p>
    <w:p>
      <w:pPr>
        <w:pStyle w:val="MdSpace"/>
        <w:spacing w:before="0" w:after="60"/>
      </w:pPr>
    </w:p>
    <w:p>
      <w:pPr>
        <w:pStyle w:val="Heading3"/>
        <w:pStyle w:val="MdHeading3"/>
      </w:pPr>
      <w:r>
        <w:t xml:space="preserve">3.1 Registration and Academic Progression</w:t>
      </w:r>
    </w:p>
    <w:p>
      <w:pPr>
        <w:pStyle w:val="MdListItem"/>
        <w:numPr>
          <w:ilvl w:val="0"/>
          <w:numId w:val="3"/>
        </w:numPr>
      </w:pPr>
      <w:r>
        <w:rPr>
          <w:rStyle w:val="MdStrong"/>
          <w:b/>
          <w:bCs/>
        </w:rPr>
        <w:t xml:space="preserve">Online Application</w:t>
      </w:r>
      <w:r>
        <w:t xml:space="preserve">: Initial step for prospective students.</w:t>
      </w:r>
    </w:p>
    <w:p>
      <w:pPr>
        <w:pStyle w:val="MdListItem"/>
        <w:numPr>
          <w:ilvl w:val="0"/>
          <w:numId w:val="3"/>
        </w:numPr>
      </w:pPr>
      <w:r>
        <w:rPr>
          <w:rStyle w:val="MdStrong"/>
          <w:b/>
          <w:bCs/>
        </w:rPr>
        <w:t xml:space="preserve">Document Submission</w:t>
      </w:r>
      <w:r>
        <w:t xml:space="preserve">: Required personal and academic documents are submitted.</w:t>
      </w:r>
    </w:p>
    <w:p>
      <w:pPr>
        <w:pStyle w:val="MdListItem"/>
        <w:numPr>
          <w:ilvl w:val="0"/>
          <w:numId w:val="3"/>
        </w:numPr>
      </w:pPr>
      <w:r>
        <w:rPr>
          <w:rStyle w:val="MdStrong"/>
          <w:b/>
          <w:bCs/>
        </w:rPr>
        <w:t xml:space="preserve">Fee Payment</w:t>
      </w:r>
      <w:r>
        <w:t xml:space="preserve">: Payment of application/tuition fees, typically via bank transfer.</w:t>
      </w:r>
    </w:p>
    <w:p>
      <w:pPr>
        <w:pStyle w:val="MdListItem"/>
        <w:numPr>
          <w:ilvl w:val="0"/>
          <w:numId w:val="3"/>
        </w:numPr>
      </w:pPr>
      <w:r>
        <w:rPr>
          <w:rStyle w:val="MdStrong"/>
          <w:b/>
          <w:bCs/>
        </w:rPr>
        <w:t xml:space="preserve">Receipt Verification</w:t>
      </w:r>
      <w:r>
        <w:t xml:space="preserve">: Proof of payment is sent to </w:t>
      </w:r>
      <w:r>
        <w:rPr>
          <w:rStyle w:val="MdCode"/>
          <w:u w:val="single"/>
        </w:rPr>
        <w:t xml:space="preserve">finance@ictuniversity.edu.cm</w:t>
      </w:r>
      <w:r>
        <w:t xml:space="preserve"> for financial clearance.</w:t>
      </w:r>
    </w:p>
    <w:p>
      <w:pPr>
        <w:pStyle w:val="MdListItem"/>
        <w:numPr>
          <w:ilvl w:val="0"/>
          <w:numId w:val="3"/>
        </w:numPr>
      </w:pPr>
      <w:r>
        <w:rPr>
          <w:rStyle w:val="MdStrong"/>
          <w:b/>
          <w:bCs/>
        </w:rPr>
        <w:t xml:space="preserve">Admission and Enrollment</w:t>
      </w:r>
      <w:r>
        <w:t xml:space="preserve">: Once cleared, students are admitted and can register for courses.</w:t>
      </w:r>
    </w:p>
    <w:p>
      <w:pPr>
        <w:pStyle w:val="MdListItem"/>
        <w:numPr>
          <w:ilvl w:val="0"/>
          <w:numId w:val="3"/>
        </w:numPr>
      </w:pPr>
      <w:r>
        <w:rPr>
          <w:rStyle w:val="MdStrong"/>
          <w:b/>
          <w:bCs/>
        </w:rPr>
        <w:t xml:space="preserve">Course Registration</w:t>
      </w:r>
      <w:r>
        <w:t xml:space="preserve">: Students register for their 6 courses per semester, aiming for 36 credits.</w:t>
      </w:r>
    </w:p>
    <w:p>
      <w:pPr>
        <w:pStyle w:val="MdListItem"/>
        <w:numPr>
          <w:ilvl w:val="0"/>
          <w:numId w:val="3"/>
        </w:numPr>
      </w:pPr>
      <w:r>
        <w:rPr>
          <w:rStyle w:val="MdStrong"/>
          <w:b/>
          <w:bCs/>
        </w:rPr>
        <w:t xml:space="preserve">Academic Performance</w:t>
      </w:r>
      <w:r>
        <w:t xml:space="preserve">: Students engage with course materials, complete CAs (30%), assignments (20%), and final examinations (40%) [2].</w:t>
      </w:r>
    </w:p>
    <w:p>
      <w:pPr>
        <w:pStyle w:val="MdListItem"/>
        <w:numPr>
          <w:ilvl w:val="0"/>
          <w:numId w:val="3"/>
        </w:numPr>
      </w:pPr>
      <w:r>
        <w:rPr>
          <w:rStyle w:val="MdStrong"/>
          <w:b/>
          <w:bCs/>
        </w:rPr>
        <w:t xml:space="preserve">Results Publication</w:t>
      </w:r>
      <w:r>
        <w:t xml:space="preserve">: The Registrar's Office publishes results after Senate meetings.</w:t>
      </w:r>
    </w:p>
    <w:p>
      <w:pPr>
        <w:pStyle w:val="MdListItem"/>
        <w:numPr>
          <w:ilvl w:val="0"/>
          <w:numId w:val="3"/>
        </w:numPr>
      </w:pPr>
      <w:r>
        <w:rPr>
          <w:rStyle w:val="MdStrong"/>
          <w:b/>
          <w:bCs/>
        </w:rPr>
        <w:t xml:space="preserve">Complaint Handling</w:t>
      </w:r>
      <w:r>
        <w:t xml:space="preserve">: Students can submit complaints regarding results within a specified period.</w:t>
      </w:r>
    </w:p>
    <w:p>
      <w:pPr>
        <w:pStyle w:val="MdSpace"/>
        <w:spacing w:before="0" w:after="60"/>
      </w:pPr>
    </w:p>
    <w:p>
      <w:pPr>
        <w:pStyle w:val="Heading3"/>
        <w:pStyle w:val="MdHeading3"/>
      </w:pPr>
      <w:r>
        <w:t xml:space="preserve">3.2 Document Collection</w:t>
      </w:r>
    </w:p>
    <w:p>
      <w:pPr>
        <w:pStyle w:val="MdParagraph"/>
      </w:pPr>
      <w:r>
        <w:t xml:space="preserve">To obtain academic documents (transcripts, certificates), students must first achieve both financial and academic clearance. Formal requests, often in written (Word document) format, are submitted to the Registrar's Office [2].</w:t>
      </w:r>
    </w:p>
    <w:p>
      <w:pPr>
        <w:pStyle w:val="MdSpace"/>
        <w:spacing w:before="0" w:after="60"/>
      </w:pPr>
    </w:p>
    <w:p>
      <w:pPr>
        <w:pStyle w:val="Heading2"/>
        <w:pStyle w:val="MdHeading2"/>
      </w:pPr>
      <w:r>
        <w:t xml:space="preserve">4. Faculty Operations and Lecturer Roles</w:t>
      </w:r>
    </w:p>
    <w:p>
      <w:pPr>
        <w:pStyle w:val="MdParagraph"/>
      </w:pPr>
      <w:r>
        <w:t xml:space="preserve">Lecturers play a multifaceted role, extending beyond teaching to include assessment, student support, and administrative duties.</w:t>
      </w:r>
    </w:p>
    <w:p>
      <w:pPr>
        <w:pStyle w:val="MdSpace"/>
        <w:spacing w:before="0" w:after="60"/>
      </w:pPr>
    </w:p>
    <w:p>
      <w:pPr>
        <w:pStyle w:val="Heading3"/>
        <w:pStyle w:val="MdHeading3"/>
      </w:pPr>
      <w:r>
        <w:t xml:space="preserve">4.1 Lecturer Responsibilities and Workflow</w:t>
      </w:r>
    </w:p>
    <w:p>
      <w:pPr>
        <w:pStyle w:val="MdListItem"/>
        <w:numPr>
          <w:ilvl w:val="0"/>
          <w:numId w:val="2"/>
        </w:numPr>
      </w:pPr>
      <w:r>
        <w:rPr>
          <w:rStyle w:val="MdStrong"/>
          <w:b/>
          <w:bCs/>
        </w:rPr>
        <w:t xml:space="preserve">Course Preparation</w:t>
      </w:r>
      <w:r>
        <w:t xml:space="preserve">: Lecturers participate in </w:t>
      </w:r>
      <w:r>
        <w:rPr>
          <w:rStyle w:val="MdStrong"/>
          <w:b/>
          <w:bCs/>
        </w:rPr>
        <w:t xml:space="preserve">Pedagogic Workshops</w:t>
      </w:r>
      <w:r>
        <w:t xml:space="preserve"> at the start of each semester to prepare and align their course content.</w:t>
      </w:r>
    </w:p>
    <w:p>
      <w:pPr>
        <w:pStyle w:val="MdListItem"/>
        <w:numPr>
          <w:ilvl w:val="0"/>
          <w:numId w:val="2"/>
        </w:numPr>
      </w:pPr>
      <w:r>
        <w:rPr>
          <w:rStyle w:val="MdStrong"/>
          <w:b/>
          <w:bCs/>
        </w:rPr>
        <w:t xml:space="preserve">Content Delivery</w:t>
      </w:r>
      <w:r>
        <w:t xml:space="preserve">: They deliver lectures, tutorials, and seminars over the 12-week (Fall/Spring) or 9-week (Summer) periods.</w:t>
      </w:r>
    </w:p>
    <w:p>
      <w:pPr>
        <w:pStyle w:val="MdListItem"/>
        <w:numPr>
          <w:ilvl w:val="0"/>
          <w:numId w:val="2"/>
        </w:numPr>
      </w:pPr>
      <w:r>
        <w:rPr>
          <w:rStyle w:val="MdStrong"/>
          <w:b/>
          <w:bCs/>
        </w:rPr>
        <w:t xml:space="preserve">Assessment Management</w:t>
      </w:r>
      <w:r>
        <w:t xml:space="preserve">: Lecturers are responsible for:</w:t>
      </w:r>
    </w:p>
    <w:p>
      <w:pPr>
        <w:pStyle w:val="MdListItem"/>
        <w:numPr>
          <w:ilvl w:val="1"/>
          <w:numId w:val="2"/>
        </w:numPr>
      </w:pPr>
      <w:r>
        <w:t xml:space="preserve">Tracking </w:t>
      </w:r>
      <w:r>
        <w:rPr>
          <w:rStyle w:val="MdStrong"/>
          <w:b/>
          <w:bCs/>
        </w:rPr>
        <w:t xml:space="preserve">Class Attendance and Participation (10%)</w:t>
      </w:r>
      <w:r>
        <w:t xml:space="preserve">.</w:t>
      </w:r>
    </w:p>
    <w:p>
      <w:pPr>
        <w:pStyle w:val="MdListItem"/>
        <w:numPr>
          <w:ilvl w:val="1"/>
          <w:numId w:val="2"/>
        </w:numPr>
      </w:pPr>
      <w:r>
        <w:t xml:space="preserve">Designing and grading </w:t>
      </w:r>
      <w:r>
        <w:rPr>
          <w:rStyle w:val="MdStrong"/>
          <w:b/>
          <w:bCs/>
        </w:rPr>
        <w:t xml:space="preserve">Group Work and Assignments (20%)</w:t>
      </w:r>
      <w:r>
        <w:t xml:space="preserve">.</w:t>
      </w:r>
    </w:p>
    <w:p>
      <w:pPr>
        <w:pStyle w:val="MdListItem"/>
        <w:numPr>
          <w:ilvl w:val="1"/>
          <w:numId w:val="2"/>
        </w:numPr>
      </w:pPr>
      <w:r>
        <w:t xml:space="preserve">Developing and administering </w:t>
      </w:r>
      <w:r>
        <w:rPr>
          <w:rStyle w:val="MdStrong"/>
          <w:b/>
          <w:bCs/>
        </w:rPr>
        <w:t xml:space="preserve">Continuous Assessments (CAs) (30%)</w:t>
      </w:r>
      <w:r>
        <w:t xml:space="preserve">.</w:t>
      </w:r>
    </w:p>
    <w:p>
      <w:pPr>
        <w:pStyle w:val="MdListItem"/>
        <w:numPr>
          <w:ilvl w:val="1"/>
          <w:numId w:val="2"/>
        </w:numPr>
      </w:pPr>
      <w:r>
        <w:t xml:space="preserve">Preparing and grading </w:t>
      </w:r>
      <w:r>
        <w:rPr>
          <w:rStyle w:val="MdStrong"/>
          <w:b/>
          <w:bCs/>
        </w:rPr>
        <w:t xml:space="preserve">Final Examinations (40%)</w:t>
      </w:r>
      <w:r>
        <w:t xml:space="preserve">. These exams are vetted by the University of Buea (UB) before administration [1].</w:t>
      </w:r>
    </w:p>
    <w:p>
      <w:pPr>
        <w:pStyle w:val="MdListItem"/>
        <w:numPr>
          <w:ilvl w:val="0"/>
          <w:numId w:val="2"/>
        </w:numPr>
      </w:pPr>
      <w:r>
        <w:rPr>
          <w:rStyle w:val="MdStrong"/>
          <w:b/>
          <w:bCs/>
        </w:rPr>
        <w:t xml:space="preserve">Result Submission</w:t>
      </w:r>
      <w:r>
        <w:t xml:space="preserve">: Lecturers must submit all grades to the Registrar's Office within strict deadlines after examinations.</w:t>
      </w:r>
    </w:p>
    <w:p>
      <w:pPr>
        <w:pStyle w:val="MdListItem"/>
        <w:numPr>
          <w:ilvl w:val="0"/>
          <w:numId w:val="2"/>
        </w:numPr>
      </w:pPr>
      <w:r>
        <w:rPr>
          <w:rStyle w:val="MdStrong"/>
          <w:b/>
          <w:bCs/>
        </w:rPr>
        <w:t xml:space="preserve">Student Support</w:t>
      </w:r>
      <w:r>
        <w:t xml:space="preserve">: They address student queries and complaints during the designated periods after results publication.</w:t>
      </w:r>
    </w:p>
    <w:p>
      <w:pPr>
        <w:pStyle w:val="MdListItem"/>
        <w:numPr>
          <w:ilvl w:val="0"/>
          <w:numId w:val="2"/>
        </w:numPr>
      </w:pPr>
      <w:r>
        <w:rPr>
          <w:rStyle w:val="MdStrong"/>
          <w:b/>
          <w:bCs/>
        </w:rPr>
        <w:t xml:space="preserve">Course Delegate Supervision</w:t>
      </w:r>
      <w:r>
        <w:t xml:space="preserve">: Lecturers assign and guide </w:t>
      </w:r>
      <w:r>
        <w:rPr>
          <w:rStyle w:val="MdStrong"/>
          <w:b/>
          <w:bCs/>
        </w:rPr>
        <w:t xml:space="preserve">Course Delegates</w:t>
      </w:r>
      <w:r>
        <w:t xml:space="preserve"> to assist with course-related tasks.</w:t>
      </w:r>
    </w:p>
    <w:p>
      <w:pPr>
        <w:pStyle w:val="MdSpace"/>
        <w:spacing w:before="0" w:after="60"/>
      </w:pPr>
    </w:p>
    <w:p>
      <w:pPr>
        <w:pStyle w:val="Heading3"/>
        <w:pStyle w:val="MdHeading3"/>
      </w:pPr>
      <w:r>
        <w:t xml:space="preserve">4.2 Previous Moodle Usage</w:t>
      </w:r>
    </w:p>
    <w:p>
      <w:pPr>
        <w:pStyle w:val="MdParagraph"/>
      </w:pPr>
      <w:r>
        <w:t xml:space="preserve">The user mentioned that the university previously used Moodle, but it is no longer actively utilized. This indicates a gap in centralized digital learning management, which the proposed mobile application aims to fill.</w:t>
      </w:r>
    </w:p>
    <w:p>
      <w:pPr>
        <w:pStyle w:val="MdSpace"/>
        <w:spacing w:before="0" w:after="60"/>
      </w:pPr>
    </w:p>
    <w:p>
      <w:pPr>
        <w:pStyle w:val="Heading2"/>
        <w:pStyle w:val="MdHeading2"/>
      </w:pPr>
      <w:r>
        <w:t xml:space="preserve">5. Mobile Application Implications and Feature Refinement (Based on SRS)</w:t>
      </w:r>
    </w:p>
    <w:p>
      <w:pPr>
        <w:pStyle w:val="MdParagraph"/>
      </w:pPr>
      <w:r>
        <w:t xml:space="preserve">This section integrates the academic and structural findings with the features outlined in the provided SRS document, offering specific details to enhance the application's functionality.</w:t>
      </w:r>
    </w:p>
    <w:p>
      <w:pPr>
        <w:pStyle w:val="MdSpace"/>
        <w:spacing w:before="0" w:after="60"/>
      </w:pPr>
    </w:p>
    <w:p>
      <w:pPr>
        <w:pStyle w:val="Heading3"/>
        <w:pStyle w:val="MdHeading3"/>
      </w:pPr>
      <w:r>
        <w:t xml:space="preserve">5.1 Authentication</w:t>
      </w:r>
    </w:p>
    <w:p>
      <w:pPr>
        <w:pStyle w:val="MdListItem"/>
        <w:numPr>
          <w:ilvl w:val="0"/>
          <w:numId w:val="2"/>
        </w:numPr>
      </w:pPr>
      <w:r>
        <w:rPr>
          <w:rStyle w:val="MdStrong"/>
          <w:b/>
          <w:bCs/>
        </w:rPr>
        <w:t xml:space="preserve">SRS Requirement</w:t>
      </w:r>
      <w:r>
        <w:t xml:space="preserve">: Secure login for students and lecturers using official university email addresses [8].</w:t>
      </w:r>
    </w:p>
    <w:p>
      <w:pPr>
        <w:pStyle w:val="MdListItem"/>
        <w:numPr>
          <w:ilvl w:val="0"/>
          <w:numId w:val="2"/>
        </w:numPr>
      </w:pPr>
      <w:r>
        <w:rPr>
          <w:rStyle w:val="MdStrong"/>
          <w:b/>
          <w:bCs/>
        </w:rPr>
        <w:t xml:space="preserve">Implication</w:t>
      </w:r>
      <w:r>
        <w:t xml:space="preserve">: The university's mechanism for verifying these email addresses is crucial. The app should integrate with this system for initial registration and password recovery.</w:t>
      </w:r>
    </w:p>
    <w:p>
      <w:pPr>
        <w:pStyle w:val="MdSpace"/>
        <w:spacing w:before="0" w:after="60"/>
      </w:pPr>
    </w:p>
    <w:p>
      <w:pPr>
        <w:pStyle w:val="Heading3"/>
        <w:pStyle w:val="MdHeading3"/>
      </w:pPr>
      <w:r>
        <w:t xml:space="preserve">5.2 Alerts and Notifications</w:t>
      </w:r>
    </w:p>
    <w:p>
      <w:pPr>
        <w:pStyle w:val="MdListItem"/>
        <w:numPr>
          <w:ilvl w:val="0"/>
          <w:numId w:val="2"/>
        </w:numPr>
      </w:pPr>
      <w:r>
        <w:rPr>
          <w:rStyle w:val="MdStrong"/>
          <w:b/>
          <w:bCs/>
        </w:rPr>
        <w:t xml:space="preserve">SRS Requirement</w:t>
      </w:r>
      <w:r>
        <w:t xml:space="preserve">: Lecturers create and publish alerts for assignments, CAs, and exams; students receive real-time push notifications [8].</w:t>
      </w:r>
    </w:p>
    <w:p>
      <w:pPr>
        <w:pStyle w:val="MdListItem"/>
        <w:numPr>
          <w:ilvl w:val="0"/>
          <w:numId w:val="2"/>
        </w:numPr>
      </w:pPr>
      <w:r>
        <w:rPr>
          <w:rStyle w:val="MdStrong"/>
          <w:b/>
          <w:bCs/>
        </w:rPr>
        <w:t xml:space="preserve">Refinement</w:t>
      </w:r>
      <w:r>
        <w:t xml:space="preserve">: This feature is critical given the structured academic calendar. Lecturers need clear interfaces to schedule alerts for:</w:t>
      </w:r>
    </w:p>
    <w:p>
      <w:pPr>
        <w:pStyle w:val="MdListItem"/>
        <w:numPr>
          <w:ilvl w:val="1"/>
          <w:numId w:val="2"/>
        </w:numPr>
      </w:pPr>
      <w:r>
        <w:rPr>
          <w:rStyle w:val="MdStrong"/>
          <w:b/>
          <w:bCs/>
        </w:rPr>
        <w:t xml:space="preserve">CA deadlines</w:t>
      </w:r>
      <w:r>
        <w:t xml:space="preserve">: Linked to the 30% CA component.</w:t>
      </w:r>
    </w:p>
    <w:p>
      <w:pPr>
        <w:pStyle w:val="MdListItem"/>
        <w:numPr>
          <w:ilvl w:val="1"/>
          <w:numId w:val="2"/>
        </w:numPr>
      </w:pPr>
      <w:r>
        <w:rPr>
          <w:rStyle w:val="MdStrong"/>
          <w:b/>
          <w:bCs/>
        </w:rPr>
        <w:t xml:space="preserve">Assignment submission dates</w:t>
      </w:r>
      <w:r>
        <w:t xml:space="preserve">: Linked to the 20% assignment component.</w:t>
      </w:r>
    </w:p>
    <w:p>
      <w:pPr>
        <w:pStyle w:val="MdListItem"/>
        <w:numPr>
          <w:ilvl w:val="1"/>
          <w:numId w:val="2"/>
        </w:numPr>
      </w:pPr>
      <w:r>
        <w:rPr>
          <w:rStyle w:val="MdStrong"/>
          <w:b/>
          <w:bCs/>
        </w:rPr>
        <w:t xml:space="preserve">Exam schedules</w:t>
      </w:r>
      <w:r>
        <w:t xml:space="preserve">: Including dates for both regular and resit exams, as per the academic calendar.</w:t>
      </w:r>
    </w:p>
    <w:p>
      <w:pPr>
        <w:pStyle w:val="MdListItem"/>
        <w:numPr>
          <w:ilvl w:val="1"/>
          <w:numId w:val="2"/>
        </w:numPr>
      </w:pPr>
      <w:r>
        <w:rPr>
          <w:rStyle w:val="MdStrong"/>
          <w:b/>
          <w:bCs/>
        </w:rPr>
        <w:t xml:space="preserve">Results publication dates</w:t>
      </w:r>
      <w:r>
        <w:t xml:space="preserve">: As announced by the Registrar's Office.</w:t>
      </w:r>
    </w:p>
    <w:p>
      <w:pPr>
        <w:pStyle w:val="MdSpace"/>
        <w:spacing w:before="0" w:after="60"/>
      </w:pPr>
    </w:p>
    <w:p>
      <w:pPr>
        <w:pStyle w:val="Heading3"/>
        <w:pStyle w:val="MdHeading3"/>
      </w:pPr>
      <w:r>
        <w:t xml:space="preserve">5.3 Lecture Materials</w:t>
      </w:r>
    </w:p>
    <w:p>
      <w:pPr>
        <w:pStyle w:val="MdListItem"/>
        <w:numPr>
          <w:ilvl w:val="0"/>
          <w:numId w:val="2"/>
        </w:numPr>
      </w:pPr>
      <w:r>
        <w:rPr>
          <w:rStyle w:val="MdStrong"/>
          <w:b/>
          <w:bCs/>
        </w:rPr>
        <w:t xml:space="preserve">SRS Requirement</w:t>
      </w:r>
      <w:r>
        <w:t xml:space="preserve">: Lecturers upload course notes and audio recordings; AI transcribes/summarizes; materials available to enrolled students [8].</w:t>
      </w:r>
    </w:p>
    <w:p>
      <w:pPr>
        <w:pStyle w:val="MdListItem"/>
        <w:numPr>
          <w:ilvl w:val="0"/>
          <w:numId w:val="2"/>
        </w:numPr>
      </w:pPr>
      <w:r>
        <w:rPr>
          <w:rStyle w:val="MdStrong"/>
          <w:b/>
          <w:bCs/>
        </w:rPr>
        <w:t xml:space="preserve">Refinement</w:t>
      </w:r>
      <w:r>
        <w:t xml:space="preserve">: This directly addresses the gap left by the defunct Moodle system. The app should provide:</w:t>
      </w:r>
    </w:p>
    <w:p>
      <w:pPr>
        <w:pStyle w:val="MdListItem"/>
        <w:numPr>
          <w:ilvl w:val="1"/>
          <w:numId w:val="2"/>
        </w:numPr>
      </w:pPr>
      <w:r>
        <w:rPr>
          <w:rStyle w:val="MdStrong"/>
          <w:b/>
          <w:bCs/>
        </w:rPr>
        <w:t xml:space="preserve">Course-specific repositories</w:t>
      </w:r>
      <w:r>
        <w:t xml:space="preserve">: Organized by course code, level, and semester.</w:t>
      </w:r>
    </w:p>
    <w:p>
      <w:pPr>
        <w:pStyle w:val="MdListItem"/>
        <w:numPr>
          <w:ilvl w:val="1"/>
          <w:numId w:val="2"/>
        </w:numPr>
      </w:pPr>
      <w:r>
        <w:rPr>
          <w:rStyle w:val="MdStrong"/>
          <w:b/>
          <w:bCs/>
        </w:rPr>
        <w:t xml:space="preserve">File upload functionality</w:t>
      </w:r>
      <w:r>
        <w:t xml:space="preserve">: For notes (PDF, Word, etc.) and audio recordings.</w:t>
      </w:r>
    </w:p>
    <w:p>
      <w:pPr>
        <w:pStyle w:val="MdListItem"/>
        <w:numPr>
          <w:ilvl w:val="1"/>
          <w:numId w:val="2"/>
        </w:numPr>
      </w:pPr>
      <w:r>
        <w:rPr>
          <w:rStyle w:val="MdStrong"/>
          <w:b/>
          <w:bCs/>
        </w:rPr>
        <w:t xml:space="preserve">AI integration</w:t>
      </w:r>
      <w:r>
        <w:t xml:space="preserve">: For transcription and summarization of lectures, making content more accessible.</w:t>
      </w:r>
    </w:p>
    <w:p>
      <w:pPr>
        <w:pStyle w:val="MdListItem"/>
        <w:numPr>
          <w:ilvl w:val="1"/>
          <w:numId w:val="2"/>
        </w:numPr>
      </w:pPr>
      <w:r>
        <w:rPr>
          <w:rStyle w:val="MdStrong"/>
          <w:b/>
          <w:bCs/>
        </w:rPr>
        <w:t xml:space="preserve">Access control</w:t>
      </w:r>
      <w:r>
        <w:t xml:space="preserve">: Ensuring only enrolled students can access materials for their respective courses.</w:t>
      </w:r>
    </w:p>
    <w:p>
      <w:pPr>
        <w:pStyle w:val="MdSpace"/>
        <w:spacing w:before="0" w:after="60"/>
      </w:pPr>
    </w:p>
    <w:p>
      <w:pPr>
        <w:pStyle w:val="Heading3"/>
        <w:pStyle w:val="MdHeading3"/>
      </w:pPr>
      <w:r>
        <w:t xml:space="preserve">5.4 Course Delegate Management</w:t>
      </w:r>
    </w:p>
    <w:p>
      <w:pPr>
        <w:pStyle w:val="MdListItem"/>
        <w:numPr>
          <w:ilvl w:val="0"/>
          <w:numId w:val="2"/>
        </w:numPr>
      </w:pPr>
      <w:r>
        <w:rPr>
          <w:rStyle w:val="MdStrong"/>
          <w:b/>
          <w:bCs/>
        </w:rPr>
        <w:t xml:space="preserve">SRS Requirement</w:t>
      </w:r>
      <w:r>
        <w:t xml:space="preserve">: Lecturers assign delegates; delegates edit notes and take exams (with approval); delegates publish materials [8].</w:t>
      </w:r>
    </w:p>
    <w:p>
      <w:pPr>
        <w:pStyle w:val="MdListItem"/>
        <w:numPr>
          <w:ilvl w:val="0"/>
          <w:numId w:val="2"/>
        </w:numPr>
      </w:pPr>
      <w:r>
        <w:rPr>
          <w:rStyle w:val="MdStrong"/>
          <w:b/>
          <w:bCs/>
        </w:rPr>
        <w:t xml:space="preserve">Refinement</w:t>
      </w:r>
      <w:r>
        <w:t xml:space="preserve">: This feature needs careful implementation:</w:t>
      </w:r>
    </w:p>
    <w:p>
      <w:pPr>
        <w:pStyle w:val="MdListItem"/>
        <w:numPr>
          <w:ilvl w:val="1"/>
          <w:numId w:val="2"/>
        </w:numPr>
      </w:pPr>
      <w:r>
        <w:rPr>
          <w:rStyle w:val="MdStrong"/>
          <w:b/>
          <w:bCs/>
        </w:rPr>
        <w:t xml:space="preserve">Role assignment</w:t>
      </w:r>
      <w:r>
        <w:t xml:space="preserve">: A clear process for lecturers to designate a student as a course delegate for a specific course.</w:t>
      </w:r>
    </w:p>
    <w:p>
      <w:pPr>
        <w:pStyle w:val="MdListItem"/>
        <w:numPr>
          <w:ilvl w:val="1"/>
          <w:numId w:val="2"/>
        </w:numPr>
      </w:pPr>
      <w:r>
        <w:rPr>
          <w:rStyle w:val="MdStrong"/>
          <w:b/>
          <w:bCs/>
        </w:rPr>
        <w:t xml:space="preserve">Permission management</w:t>
      </w:r>
      <w:r>
        <w:t xml:space="preserve">: Granular permissions for delegates to upload/edit notes and publish announcements for their assigned course, distinct from lecturer permissions.</w:t>
      </w:r>
    </w:p>
    <w:p>
      <w:pPr>
        <w:pStyle w:val="MdListItem"/>
        <w:numPr>
          <w:ilvl w:val="1"/>
          <w:numId w:val="2"/>
        </w:numPr>
      </w:pPr>
      <w:r>
        <w:rPr>
          <w:rStyle w:val="MdStrong"/>
          <w:b/>
          <w:bCs/>
        </w:rPr>
        <w:t xml:space="preserve">Approval workflow</w:t>
      </w:r>
      <w:r>
        <w:t xml:space="preserve">: A mechanism for lecturers to approve delegate-submitted content before it is published to students.</w:t>
      </w:r>
    </w:p>
    <w:p>
      <w:pPr>
        <w:pStyle w:val="MdSpace"/>
        <w:spacing w:before="0" w:after="60"/>
      </w:pPr>
    </w:p>
    <w:p>
      <w:pPr>
        <w:pStyle w:val="Heading3"/>
        <w:pStyle w:val="MdHeading3"/>
      </w:pPr>
      <w:r>
        <w:t xml:space="preserve">5.5 Student Dashboard Features (Derived from SRS and Workflow)</w:t>
      </w:r>
    </w:p>
    <w:p>
      <w:pPr>
        <w:pStyle w:val="MdListItem"/>
        <w:numPr>
          <w:ilvl w:val="0"/>
          <w:numId w:val="2"/>
        </w:numPr>
      </w:pPr>
      <w:r>
        <w:rPr>
          <w:rStyle w:val="MdStrong"/>
          <w:b/>
          <w:bCs/>
        </w:rPr>
        <w:t xml:space="preserve">Course Overview</w:t>
      </w:r>
      <w:r>
        <w:t xml:space="preserve">: Display all registered courses for the current semester, including course codes, titles, and credits (e.g., 6 courses, 36 credits).</w:t>
      </w:r>
    </w:p>
    <w:p>
      <w:pPr>
        <w:pStyle w:val="MdListItem"/>
        <w:numPr>
          <w:ilvl w:val="0"/>
          <w:numId w:val="2"/>
        </w:numPr>
      </w:pPr>
      <w:r>
        <w:rPr>
          <w:rStyle w:val="MdStrong"/>
          <w:b/>
          <w:bCs/>
        </w:rPr>
        <w:t xml:space="preserve">Academic Progress</w:t>
      </w:r>
      <w:r>
        <w:t xml:space="preserve">: Show a breakdown of grades for CAs, assignments, and final exams, reflecting the 10%, 20%, 30%, and 40% weightages [2].</w:t>
      </w:r>
    </w:p>
    <w:p>
      <w:pPr>
        <w:pStyle w:val="MdListItem"/>
        <w:numPr>
          <w:ilvl w:val="0"/>
          <w:numId w:val="2"/>
        </w:numPr>
      </w:pPr>
      <w:r>
        <w:rPr>
          <w:rStyle w:val="MdStrong"/>
          <w:b/>
          <w:bCs/>
        </w:rPr>
        <w:t xml:space="preserve">Results Viewer</w:t>
      </w:r>
      <w:r>
        <w:t xml:space="preserve">: Centralized access to officially published results from the Registrar's Office.</w:t>
      </w:r>
    </w:p>
    <w:p>
      <w:pPr>
        <w:pStyle w:val="MdListItem"/>
        <w:numPr>
          <w:ilvl w:val="0"/>
          <w:numId w:val="2"/>
        </w:numPr>
      </w:pPr>
      <w:r>
        <w:rPr>
          <w:rStyle w:val="MdStrong"/>
          <w:b/>
          <w:bCs/>
        </w:rPr>
        <w:t xml:space="preserve">Financial Status</w:t>
      </w:r>
      <w:r>
        <w:t xml:space="preserve">: A module to show financial clearance status and allow students to upload bank receipts for verification by the Finance Office.</w:t>
      </w:r>
    </w:p>
    <w:p>
      <w:pPr>
        <w:pStyle w:val="MdListItem"/>
        <w:numPr>
          <w:ilvl w:val="0"/>
          <w:numId w:val="2"/>
        </w:numPr>
      </w:pPr>
      <w:r>
        <w:rPr>
          <w:rStyle w:val="MdStrong"/>
          <w:b/>
          <w:bCs/>
        </w:rPr>
        <w:t xml:space="preserve">Document Request Status</w:t>
      </w:r>
      <w:r>
        <w:t xml:space="preserve">: Track the status of requests for transcripts and certificates from the Registrar's Office.</w:t>
      </w:r>
    </w:p>
    <w:p>
      <w:pPr>
        <w:pStyle w:val="MdSpace"/>
        <w:spacing w:before="0" w:after="60"/>
      </w:pPr>
    </w:p>
    <w:p>
      <w:pPr>
        <w:pStyle w:val="Heading3"/>
        <w:pStyle w:val="MdHeading3"/>
      </w:pPr>
      <w:r>
        <w:t xml:space="preserve">5.6 Lecturer Dashboard Features (Derived from SRS and Workflow)</w:t>
      </w:r>
    </w:p>
    <w:p>
      <w:pPr>
        <w:pStyle w:val="MdListItem"/>
        <w:numPr>
          <w:ilvl w:val="0"/>
          <w:numId w:val="2"/>
        </w:numPr>
      </w:pPr>
      <w:r>
        <w:rPr>
          <w:rStyle w:val="MdStrong"/>
          <w:b/>
          <w:bCs/>
        </w:rPr>
        <w:t xml:space="preserve">Course Management</w:t>
      </w:r>
      <w:r>
        <w:t xml:space="preserve">: View all assigned courses, manage course materials, and assign course delegates.</w:t>
      </w:r>
    </w:p>
    <w:p>
      <w:pPr>
        <w:pStyle w:val="MdListItem"/>
        <w:numPr>
          <w:ilvl w:val="0"/>
          <w:numId w:val="2"/>
        </w:numPr>
      </w:pPr>
      <w:r>
        <w:rPr>
          <w:rStyle w:val="MdStrong"/>
          <w:b/>
          <w:bCs/>
        </w:rPr>
        <w:t xml:space="preserve">Assessment Management</w:t>
      </w:r>
      <w:r>
        <w:t xml:space="preserve">: Tools to input CA scores, assignment grades, and final exam marks. This should align with the university's grading scale and evaluation percentages [2].</w:t>
      </w:r>
    </w:p>
    <w:p>
      <w:pPr>
        <w:pStyle w:val="MdListItem"/>
        <w:numPr>
          <w:ilvl w:val="0"/>
          <w:numId w:val="2"/>
        </w:numPr>
      </w:pPr>
      <w:r>
        <w:rPr>
          <w:rStyle w:val="MdStrong"/>
          <w:b/>
          <w:bCs/>
        </w:rPr>
        <w:t xml:space="preserve">Attendance Tracking</w:t>
      </w:r>
      <w:r>
        <w:t xml:space="preserve">: A feature to record and manage student attendance, contributing to the 10% participation grade.</w:t>
      </w:r>
    </w:p>
    <w:p>
      <w:pPr>
        <w:pStyle w:val="MdListItem"/>
        <w:numPr>
          <w:ilvl w:val="0"/>
          <w:numId w:val="2"/>
        </w:numPr>
      </w:pPr>
      <w:r>
        <w:rPr>
          <w:rStyle w:val="MdStrong"/>
          <w:b/>
          <w:bCs/>
        </w:rPr>
        <w:t xml:space="preserve">Communication Hub</w:t>
      </w:r>
      <w:r>
        <w:t xml:space="preserve">: A dedicated section for sending alerts and notifications to enrolled students.</w:t>
      </w:r>
    </w:p>
    <w:p>
      <w:pPr>
        <w:pStyle w:val="MdListItem"/>
        <w:numPr>
          <w:ilvl w:val="0"/>
          <w:numId w:val="2"/>
        </w:numPr>
      </w:pPr>
      <w:r>
        <w:rPr>
          <w:rStyle w:val="MdStrong"/>
          <w:b/>
          <w:bCs/>
        </w:rPr>
        <w:t xml:space="preserve">Result Submission Interface</w:t>
      </w:r>
      <w:r>
        <w:t xml:space="preserve">: A secure portal to submit final grades to the Registrar's Office.</w:t>
      </w:r>
    </w:p>
    <w:p>
      <w:pPr>
        <w:pStyle w:val="MdSpace"/>
        <w:spacing w:before="0" w:after="60"/>
      </w:pPr>
    </w:p>
    <w:p>
      <w:pPr>
        <w:pStyle w:val="Heading2"/>
        <w:pStyle w:val="MdHeading2"/>
      </w:pPr>
      <w:r>
        <w:t xml:space="preserve">Conclusion</w:t>
      </w:r>
    </w:p>
    <w:p>
      <w:pPr>
        <w:pStyle w:val="MdParagraph"/>
      </w:pPr>
      <w:r>
        <w:t xml:space="preserve">This updated report provides a more granular understanding of the ICT University Yaounde's academic and administrative landscape, directly addressing the user's need for specific information to complete the SRS. By leveraging the detailed semester structure, grading system, administrative workflows, and lecturer responsibilities, the proposed mobile application features can be designed to seamlessly integrate with the university's operations. The absence of a centralized digital learning platform (like the former Moodle) further underscores the necessity and potential impact of this mobile application in enhancing the educational experience at ICT University Yaounde.</w:t>
      </w:r>
    </w:p>
    <w:p>
      <w:pPr>
        <w:pStyle w:val="MdSpace"/>
        <w:spacing w:before="0" w:after="60"/>
      </w:pPr>
    </w:p>
    <w:p>
      <w:pPr>
        <w:pStyle w:val="Heading2"/>
        <w:pStyle w:val="MdHeading2"/>
      </w:pPr>
      <w:r>
        <w:t xml:space="preserve">References</w:t>
      </w:r>
    </w:p>
    <w:p>
      <w:pPr>
        <w:pStyle w:val="MdParagraph"/>
      </w:pPr>
      <w:r>
        <w:t xml:space="preserve">[1] </w:t>
      </w:r>
      <w:hyperlink w:history="1" r:id="rIdmae-ouxkt4lwg-ydgg4_l">
        <w:r>
          <w:rPr>
            <w:rStyle w:val="MdLink"/>
          </w:rPr>
          <w:t xml:space="preserve">Academic Calendar – The ICT University</w:t>
        </w:r>
      </w:hyperlink>
      <w:r>
        <w:t xml:space="preserve">
[2] </w:t>
      </w:r>
      <w:hyperlink w:history="1" r:id="rIdo3uppfnd55hbaqohlc2ku">
        <w:r>
          <w:rPr>
            <w:rStyle w:val="MdLink"/>
          </w:rPr>
          <w:t xml:space="preserve">The Registrar’s Office – The ICT University</w:t>
        </w:r>
      </w:hyperlink>
      <w:r>
        <w:t xml:space="preserve">
[3] </w:t>
      </w:r>
      <w:hyperlink w:history="1" r:id="rIdoj5qvndqbcoe3ear-pzje">
        <w:r>
          <w:rPr>
            <w:rStyle w:val="MdLink"/>
          </w:rPr>
          <w:t xml:space="preserve">Bachelor of Science in Software Engineering – The ICT University</w:t>
        </w:r>
      </w:hyperlink>
      <w:r>
        <w:t xml:space="preserve">
[4] </w:t>
      </w:r>
      <w:hyperlink w:history="1" r:id="rId3tm8yw2tzcfqpyncnsxq7">
        <w:r>
          <w:rPr>
            <w:rStyle w:val="MdLink"/>
          </w:rPr>
          <w:t xml:space="preserve">Top-up Bachelor of Science in ICT – The ICT University</w:t>
        </w:r>
      </w:hyperlink>
      <w:r>
        <w:t xml:space="preserve">
[5] </w:t>
      </w:r>
      <w:hyperlink w:history="1" r:id="rIds_ondnnck4_vkbjukqsof">
        <w:r>
          <w:rPr>
            <w:rStyle w:val="MdLink"/>
          </w:rPr>
          <w:t xml:space="preserve">ADMISSIONS DEPARTMENT – The ICT University</w:t>
        </w:r>
      </w:hyperlink>
      <w:r>
        <w:t xml:space="preserve">
[6] </w:t>
      </w:r>
      <w:hyperlink w:history="1" r:id="rIdvzk6rmgjda9pys-rhv74k">
        <w:r>
          <w:rPr>
            <w:rStyle w:val="MdLink"/>
          </w:rPr>
          <w:t xml:space="preserve">The ICT University, USA The ICT-U Cameroon Campus (PDF)</w:t>
        </w:r>
      </w:hyperlink>
      <w:r>
        <w:t xml:space="preserve">
[7] </w:t>
      </w:r>
      <w:hyperlink w:history="1" r:id="rIdkded_lyjjb3oif_dfk40f">
        <w:r>
          <w:rPr>
            <w:rStyle w:val="MdLink"/>
          </w:rPr>
          <w:t xml:space="preserve">Management Team – The ICT University</w:t>
        </w:r>
      </w:hyperlink>
      <w:r>
        <w:t xml:space="preserve">
[8] [Software Requirements Specification (SRS) for The ICTU Community Mobile Application (User Provided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mae-ouxkt4lwg-ydgg4_l" Type="http://schemas.openxmlformats.org/officeDocument/2006/relationships/hyperlink" Target="https://ictuniversity.org/academic-calendar/" TargetMode="External"/><Relationship Id="rIdo3uppfnd55hbaqohlc2ku" Type="http://schemas.openxmlformats.org/officeDocument/2006/relationships/hyperlink" Target="https://ictuniversity.org/the-registrars-office/" TargetMode="External"/><Relationship Id="rIdoj5qvndqbcoe3ear-pzje" Type="http://schemas.openxmlformats.org/officeDocument/2006/relationships/hyperlink" Target="https://ictuniversity.org/course/bachelor-of-science-in-software-engineering/" TargetMode="External"/><Relationship Id="rId3tm8yw2tzcfqpyncnsxq7" Type="http://schemas.openxmlformats.org/officeDocument/2006/relationships/hyperlink" Target="https://ictuniversity.org/course/top-up-bachelor-of-science-in-ict/" TargetMode="External"/><Relationship Id="rIds_ondnnck4_vkbjukqsof" Type="http://schemas.openxmlformats.org/officeDocument/2006/relationships/hyperlink" Target="https://ictuniversity.org/apply-to-ictu/" TargetMode="External"/><Relationship Id="rIdvzk6rmgjda9pys-rhv74k" Type="http://schemas.openxmlformats.org/officeDocument/2006/relationships/hyperlink" Target="https://ictuniversity.org/wp-content/uploads/2021/07/2020-ICT-U-Application-Form-Nationals.pdf" TargetMode="External"/><Relationship Id="rIdkded_lyjjb3oif_dfk40f" Type="http://schemas.openxmlformats.org/officeDocument/2006/relationships/hyperlink" Target="https://ictuniversity.org/management-team/" TargetMode="External"/><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2026-03-28T12:02:39.525Z</dcterms:created>
  <dcterms:modified xsi:type="dcterms:W3CDTF">2026-03-28T12:02:39.525Z</dcterms:modified>
</cp:coreProperties>
</file>

<file path=docProps/custom.xml><?xml version="1.0" encoding="utf-8"?>
<Properties xmlns="http://schemas.openxmlformats.org/officeDocument/2006/custom-properties" xmlns:vt="http://schemas.openxmlformats.org/officeDocument/2006/docPropsVTypes"/>
</file>