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Advanced Machine Learning</w:t>
      </w:r>
    </w:p>
    <w:p>
      <w:pPr>
        <w:jc w:val="center"/>
      </w:pPr>
      <w:r>
        <w:rPr>
          <w:b/>
          <w:sz w:val="36"/>
        </w:rPr>
        <w:t>D2.2 – Project Documentation</w:t>
      </w:r>
    </w:p>
    <w:p>
      <w:pPr>
        <w:jc w:val="center"/>
      </w:pPr>
      <w:r>
        <w:rPr>
          <w:i/>
          <w:sz w:val="28"/>
        </w:rPr>
        <w:t>Forecasting Daily IFR Flight Movements at Palma de Mallorca Airport (LEPA)</w:t>
      </w:r>
    </w:p>
    <w:p>
      <w:pPr>
        <w:jc w:val="center"/>
      </w:pPr>
      <w:r>
        <w:rPr>
          <w:b/>
        </w:rPr>
        <w:t>Xabier Villa López &amp; Illart Dekhli Moreno</w:t>
      </w:r>
    </w:p>
    <w:p>
      <w:pPr>
        <w:jc w:val="center"/>
      </w:pPr>
      <w:r>
        <w:rPr>
          <w:i/>
        </w:rPr>
        <w:t>Version for completion after executing the corrected notebook</w:t>
      </w:r>
    </w:p>
    <w:p/>
    <w:tbl>
      <w:tblPr>
        <w:tblStyle w:val="TableGrid"/>
        <w:tblW w:type="auto" w:w="0"/>
        <w:jc w:val="center"/>
        <w:tblLook w:firstColumn="1" w:firstRow="1" w:lastColumn="0" w:lastRow="0" w:noHBand="0" w:noVBand="1" w:val="04A0"/>
      </w:tblPr>
      <w:tblGrid>
        <w:gridCol w:w="4896"/>
        <w:gridCol w:w="4896"/>
      </w:tblGrid>
      <w:tr>
        <w:trPr>
          <w:tblHeader w:val="true"/>
        </w:trPr>
        <w:tc>
          <w:tcPr>
            <w:tcW w:type="dxa" w:w="4896"/>
            <w:shd w:fill="1F4E79"/>
            <w:vAlign w:val="center"/>
          </w:tcPr>
          <w:p>
            <w:pPr>
              <w:spacing w:after="0"/>
            </w:pPr>
            <w:r/>
            <w:r>
              <w:rPr>
                <w:b/>
                <w:color w:val="FFFFFF"/>
              </w:rPr>
              <w:t>Submission item</w:t>
            </w:r>
          </w:p>
        </w:tc>
        <w:tc>
          <w:tcPr>
            <w:tcW w:type="dxa" w:w="4896"/>
            <w:shd w:fill="1F4E79"/>
            <w:vAlign w:val="center"/>
          </w:tcPr>
          <w:p>
            <w:pPr>
              <w:spacing w:after="0"/>
            </w:pPr>
            <w:r/>
            <w:r>
              <w:rPr>
                <w:b/>
                <w:color w:val="FFFFFF"/>
              </w:rPr>
              <w:t>Status / note</w:t>
            </w:r>
          </w:p>
        </w:tc>
      </w:tr>
      <w:tr>
        <w:tc>
          <w:tcPr>
            <w:tcW w:type="dxa" w:w="4896"/>
            <w:vAlign w:val="top"/>
          </w:tcPr>
          <w:p>
            <w:pPr>
              <w:spacing w:after="0"/>
            </w:pPr>
            <w:r/>
            <w:r>
              <w:rPr>
                <w:b w:val="0"/>
              </w:rPr>
              <w:t>Notebook</w:t>
            </w:r>
          </w:p>
        </w:tc>
        <w:tc>
          <w:tcPr>
            <w:tcW w:type="dxa" w:w="4896"/>
            <w:vAlign w:val="top"/>
          </w:tcPr>
          <w:p>
            <w:pPr>
              <w:spacing w:after="0"/>
            </w:pPr>
            <w:r/>
            <w:r>
              <w:rPr>
                <w:b w:val="0"/>
              </w:rPr>
              <w:t>D2_2_LEPA_forecasting_corrected.ipynb</w:t>
            </w:r>
          </w:p>
        </w:tc>
      </w:tr>
      <w:tr>
        <w:tc>
          <w:tcPr>
            <w:tcW w:type="dxa" w:w="4896"/>
            <w:vAlign w:val="top"/>
          </w:tcPr>
          <w:p>
            <w:pPr>
              <w:spacing w:after="0"/>
            </w:pPr>
            <w:r/>
            <w:r>
              <w:rPr>
                <w:b w:val="0"/>
              </w:rPr>
              <w:t>Dataset</w:t>
            </w:r>
          </w:p>
        </w:tc>
        <w:tc>
          <w:tcPr>
            <w:tcW w:type="dxa" w:w="4896"/>
            <w:vAlign w:val="top"/>
          </w:tcPr>
          <w:p>
            <w:pPr>
              <w:spacing w:after="0"/>
            </w:pPr>
            <w:r/>
            <w:r>
              <w:rPr>
                <w:b w:val="0"/>
              </w:rPr>
              <w:t>[Insert public Google Drive folder link]</w:t>
            </w:r>
          </w:p>
        </w:tc>
      </w:tr>
      <w:tr>
        <w:tc>
          <w:tcPr>
            <w:tcW w:type="dxa" w:w="4896"/>
            <w:vAlign w:val="top"/>
          </w:tcPr>
          <w:p>
            <w:pPr>
              <w:spacing w:after="0"/>
            </w:pPr>
            <w:r/>
            <w:r>
              <w:rPr>
                <w:b w:val="0"/>
              </w:rPr>
              <w:t>Repository</w:t>
            </w:r>
          </w:p>
        </w:tc>
        <w:tc>
          <w:tcPr>
            <w:tcW w:type="dxa" w:w="4896"/>
            <w:vAlign w:val="top"/>
          </w:tcPr>
          <w:p>
            <w:pPr>
              <w:spacing w:after="0"/>
            </w:pPr>
            <w:r/>
            <w:r>
              <w:rPr>
                <w:b w:val="0"/>
              </w:rPr>
              <w:t>[Insert GitHub repository link, if used]</w:t>
            </w:r>
          </w:p>
        </w:tc>
      </w:tr>
      <w:tr>
        <w:tc>
          <w:tcPr>
            <w:tcW w:type="dxa" w:w="4896"/>
            <w:vAlign w:val="top"/>
          </w:tcPr>
          <w:p>
            <w:pPr>
              <w:spacing w:after="0"/>
            </w:pPr>
            <w:r/>
            <w:r>
              <w:rPr>
                <w:b w:val="0"/>
              </w:rPr>
              <w:t>Main metric</w:t>
            </w:r>
          </w:p>
        </w:tc>
        <w:tc>
          <w:tcPr>
            <w:tcW w:type="dxa" w:w="4896"/>
            <w:vAlign w:val="top"/>
          </w:tcPr>
          <w:p>
            <w:pPr>
              <w:spacing w:after="0"/>
            </w:pPr>
            <w:r/>
            <w:r>
              <w:rPr>
                <w:b w:val="0"/>
              </w:rPr>
              <w:t>MAE, reported in flights/day across 12 rolling 14-day windows</w:t>
            </w:r>
          </w:p>
        </w:tc>
      </w:tr>
    </w:tbl>
    <w:p/>
    <w:p>
      <w:r>
        <w:br w:type="page"/>
      </w:r>
    </w:p>
    <w:p>
      <w:pPr>
        <w:pStyle w:val="Heading1"/>
      </w:pPr>
      <w:r>
        <w:t>Index</w:t>
      </w:r>
    </w:p>
    <w:p>
      <w:r>
        <w:t>1. Dataset and forecasting objective</w:t>
      </w:r>
    </w:p>
    <w:p>
      <w:r>
        <w:t>2. Time series analysis</w:t>
      </w:r>
    </w:p>
    <w:p>
      <w:r>
        <w:t>3. Evaluation protocol and baselines</w:t>
      </w:r>
    </w:p>
    <w:p>
      <w:r>
        <w:t>4. ARMA</w:t>
      </w:r>
    </w:p>
    <w:p>
      <w:r>
        <w:t>5. ARIMA</w:t>
      </w:r>
    </w:p>
    <w:p>
      <w:r>
        <w:t>6. SARIMA</w:t>
      </w:r>
    </w:p>
    <w:p>
      <w:r>
        <w:t>7. AutoARIMA</w:t>
      </w:r>
    </w:p>
    <w:p>
      <w:r>
        <w:t>8. Transformer-based architecture</w:t>
      </w:r>
    </w:p>
    <w:p>
      <w:r>
        <w:t>9. Results discussion</w:t>
      </w:r>
    </w:p>
    <w:p>
      <w:r>
        <w:t>10. Lessons learned</w:t>
      </w:r>
    </w:p>
    <w:p>
      <w:r>
        <w:t>11. Code corrections and final checklist</w:t>
      </w:r>
    </w:p>
    <w:p>
      <w:r>
        <w:br w:type="page"/>
      </w:r>
    </w:p>
    <w:p>
      <w:pPr>
        <w:pStyle w:val="Heading1"/>
      </w:pPr>
      <w:r>
        <w:t>1. Dataset and forecasting objective</w:t>
      </w:r>
    </w:p>
    <w:p>
      <w:r>
        <w:t>This delivery continues the selected external dataset from the previous Advanced Machine Learning project. Instead of predicting a class label, the task is now formulated as a univariate time-series forecasting problem. The objective is to forecast daily IFR flight movements at Palma de Mallorca Airport (ICAO code: LEPA) 14 days ahead.</w:t>
      </w:r>
    </w:p>
    <w:p>
      <w:r>
        <w:t>The raw data is composed of Eurocontrol yearly airport-traffic CSV files. Each file contains daily observations, airport identifiers, arrival/departure movements and IFR totals. The modelling target is FLT_TOT_IFR_2, interpreted as total daily IFR movements, arrivals plus departures. The notebook filters the full European dataset to LEPA before concatenating the modelling series, which keeps memory use low and makes the pipeline easier to execute.</w:t>
      </w:r>
    </w:p>
    <w:tbl>
      <w:tblPr>
        <w:tblStyle w:val="TableGrid"/>
        <w:tblW w:type="auto" w:w="0"/>
        <w:jc w:val="center"/>
        <w:tblLook w:firstColumn="1" w:firstRow="1" w:lastColumn="0" w:lastRow="0" w:noHBand="0" w:noVBand="1" w:val="04A0"/>
      </w:tblPr>
      <w:tblGrid>
        <w:gridCol w:w="4896"/>
        <w:gridCol w:w="4896"/>
      </w:tblGrid>
      <w:tr>
        <w:trPr>
          <w:tblHeader w:val="true"/>
        </w:trPr>
        <w:tc>
          <w:tcPr>
            <w:tcW w:type="dxa" w:w="4896"/>
            <w:shd w:fill="1F4E79"/>
            <w:vAlign w:val="center"/>
          </w:tcPr>
          <w:p>
            <w:pPr>
              <w:spacing w:after="0"/>
            </w:pPr>
            <w:r/>
            <w:r>
              <w:rPr>
                <w:b/>
                <w:color w:val="FFFFFF"/>
              </w:rPr>
              <w:t>Element</w:t>
            </w:r>
          </w:p>
        </w:tc>
        <w:tc>
          <w:tcPr>
            <w:tcW w:type="dxa" w:w="4896"/>
            <w:shd w:fill="1F4E79"/>
            <w:vAlign w:val="center"/>
          </w:tcPr>
          <w:p>
            <w:pPr>
              <w:spacing w:after="0"/>
            </w:pPr>
            <w:r/>
            <w:r>
              <w:rPr>
                <w:b/>
                <w:color w:val="FFFFFF"/>
              </w:rPr>
              <w:t>Description</w:t>
            </w:r>
          </w:p>
        </w:tc>
      </w:tr>
      <w:tr>
        <w:tc>
          <w:tcPr>
            <w:tcW w:type="dxa" w:w="4896"/>
            <w:vAlign w:val="top"/>
          </w:tcPr>
          <w:p>
            <w:pPr>
              <w:spacing w:after="0"/>
            </w:pPr>
            <w:r/>
            <w:r>
              <w:rPr>
                <w:b w:val="0"/>
              </w:rPr>
              <w:t>Airport</w:t>
            </w:r>
          </w:p>
        </w:tc>
        <w:tc>
          <w:tcPr>
            <w:tcW w:type="dxa" w:w="4896"/>
            <w:vAlign w:val="top"/>
          </w:tcPr>
          <w:p>
            <w:pPr>
              <w:spacing w:after="0"/>
            </w:pPr>
            <w:r/>
            <w:r>
              <w:rPr>
                <w:b w:val="0"/>
              </w:rPr>
              <w:t>Palma de Mallorca Airport (LEPA)</w:t>
            </w:r>
          </w:p>
        </w:tc>
      </w:tr>
      <w:tr>
        <w:tc>
          <w:tcPr>
            <w:tcW w:type="dxa" w:w="4896"/>
            <w:vAlign w:val="top"/>
          </w:tcPr>
          <w:p>
            <w:pPr>
              <w:spacing w:after="0"/>
            </w:pPr>
            <w:r/>
            <w:r>
              <w:rPr>
                <w:b w:val="0"/>
              </w:rPr>
              <w:t>Frequency</w:t>
            </w:r>
          </w:p>
        </w:tc>
        <w:tc>
          <w:tcPr>
            <w:tcW w:type="dxa" w:w="4896"/>
            <w:vAlign w:val="top"/>
          </w:tcPr>
          <w:p>
            <w:pPr>
              <w:spacing w:after="0"/>
            </w:pPr>
            <w:r/>
            <w:r>
              <w:rPr>
                <w:b w:val="0"/>
              </w:rPr>
              <w:t>Daily</w:t>
            </w:r>
          </w:p>
        </w:tc>
      </w:tr>
      <w:tr>
        <w:tc>
          <w:tcPr>
            <w:tcW w:type="dxa" w:w="4896"/>
            <w:vAlign w:val="top"/>
          </w:tcPr>
          <w:p>
            <w:pPr>
              <w:spacing w:after="0"/>
            </w:pPr>
            <w:r/>
            <w:r>
              <w:rPr>
                <w:b w:val="0"/>
              </w:rPr>
              <w:t>Target variable</w:t>
            </w:r>
          </w:p>
        </w:tc>
        <w:tc>
          <w:tcPr>
            <w:tcW w:type="dxa" w:w="4896"/>
            <w:vAlign w:val="top"/>
          </w:tcPr>
          <w:p>
            <w:pPr>
              <w:spacing w:after="0"/>
            </w:pPr>
            <w:r/>
            <w:r>
              <w:rPr>
                <w:b w:val="0"/>
              </w:rPr>
              <w:t>FLT_TOT_IFR_2: total daily IFR movements</w:t>
            </w:r>
          </w:p>
        </w:tc>
      </w:tr>
      <w:tr>
        <w:tc>
          <w:tcPr>
            <w:tcW w:type="dxa" w:w="4896"/>
            <w:vAlign w:val="top"/>
          </w:tcPr>
          <w:p>
            <w:pPr>
              <w:spacing w:after="0"/>
            </w:pPr>
            <w:r/>
            <w:r>
              <w:rPr>
                <w:b w:val="0"/>
              </w:rPr>
              <w:t>Forecast horizon</w:t>
            </w:r>
          </w:p>
        </w:tc>
        <w:tc>
          <w:tcPr>
            <w:tcW w:type="dxa" w:w="4896"/>
            <w:vAlign w:val="top"/>
          </w:tcPr>
          <w:p>
            <w:pPr>
              <w:spacing w:after="0"/>
            </w:pPr>
            <w:r/>
            <w:r>
              <w:rPr>
                <w:b w:val="0"/>
              </w:rPr>
              <w:t>14 days</w:t>
            </w:r>
          </w:p>
        </w:tc>
      </w:tr>
      <w:tr>
        <w:tc>
          <w:tcPr>
            <w:tcW w:type="dxa" w:w="4896"/>
            <w:vAlign w:val="top"/>
          </w:tcPr>
          <w:p>
            <w:pPr>
              <w:spacing w:after="0"/>
            </w:pPr>
            <w:r/>
            <w:r>
              <w:rPr>
                <w:b w:val="0"/>
              </w:rPr>
              <w:t>Main evaluation metric</w:t>
            </w:r>
          </w:p>
        </w:tc>
        <w:tc>
          <w:tcPr>
            <w:tcW w:type="dxa" w:w="4896"/>
            <w:vAlign w:val="top"/>
          </w:tcPr>
          <w:p>
            <w:pPr>
              <w:spacing w:after="0"/>
            </w:pPr>
            <w:r/>
            <w:r>
              <w:rPr>
                <w:b w:val="0"/>
              </w:rPr>
              <w:t>MAE, because it is directly interpretable as flights/day</w:t>
            </w:r>
          </w:p>
        </w:tc>
      </w:tr>
      <w:tr>
        <w:tc>
          <w:tcPr>
            <w:tcW w:type="dxa" w:w="4896"/>
            <w:vAlign w:val="top"/>
          </w:tcPr>
          <w:p>
            <w:pPr>
              <w:spacing w:after="0"/>
            </w:pPr>
            <w:r/>
            <w:r>
              <w:rPr>
                <w:b w:val="0"/>
              </w:rPr>
              <w:t>Dataset access requirement</w:t>
            </w:r>
          </w:p>
        </w:tc>
        <w:tc>
          <w:tcPr>
            <w:tcW w:type="dxa" w:w="4896"/>
            <w:vAlign w:val="top"/>
          </w:tcPr>
          <w:p>
            <w:pPr>
              <w:spacing w:after="0"/>
            </w:pPr>
            <w:r/>
            <w:r>
              <w:rPr>
                <w:b w:val="0"/>
              </w:rPr>
              <w:t>The final submitted notebook must include a public Google Drive link to the data folder</w:t>
            </w:r>
          </w:p>
        </w:tc>
      </w:tr>
    </w:tbl>
    <w:p/>
    <w:p>
      <w:pPr>
        <w:pStyle w:val="IntenseQuote"/>
      </w:pPr>
      <w:r>
        <w:rPr>
          <w:b/>
          <w:color w:val="5A5A5A"/>
        </w:rPr>
        <w:t>[INSERT FIGURE 1: full time series plot from the notebook, with the COVID period highlighted]</w:t>
      </w:r>
    </w:p>
    <w:p>
      <w:pPr>
        <w:pStyle w:val="Heading1"/>
      </w:pPr>
      <w:r>
        <w:t>2. Time series analysis</w:t>
      </w:r>
    </w:p>
    <w:p>
      <w:r>
        <w:t>The notebook first visualises the full series and then focuses the modelling work on the modern period starting on 2022-01-01. This decision is important because the 2020-2021 COVID period introduces an extreme structural break in aviation traffic. Training classical forecasting models and the Transformer on the full series would make the models learn abnormal dynamics that are not representative of current airport operations.</w:t>
      </w:r>
    </w:p>
    <w:p>
      <w:pPr>
        <w:pStyle w:val="Heading2"/>
      </w:pPr>
      <w:r>
        <w:t>2.1 Structure, trend and seasonality</w:t>
      </w:r>
    </w:p>
    <w:p>
      <w:r>
        <w:t>The visual inspection shows two relevant seasonal structures. First, there is a clear weekly pattern, which is expected in daily airport traffic because traffic volumes depend strongly on the day of the week. Second, the month-level boxplot shows an annual tourist cycle, with higher traffic during the summer period and lower traffic during the winter months. The STL decomposition separates the observed series into trend, weekly seasonal component and residuals.</w:t>
      </w:r>
    </w:p>
    <w:p>
      <w:pPr>
        <w:pStyle w:val="IntenseQuote"/>
      </w:pPr>
      <w:r>
        <w:rPr>
          <w:b/>
          <w:color w:val="5A5A5A"/>
        </w:rPr>
        <w:t>[INSERT FIGURE 2: analysis series from 2022 onwards]</w:t>
      </w:r>
    </w:p>
    <w:p>
      <w:pPr>
        <w:pStyle w:val="IntenseQuote"/>
      </w:pPr>
      <w:r>
        <w:rPr>
          <w:b/>
          <w:color w:val="5A5A5A"/>
        </w:rPr>
        <w:t>[INSERT FIGURE 3: flights by day-of-week boxplot]</w:t>
      </w:r>
    </w:p>
    <w:p>
      <w:pPr>
        <w:pStyle w:val="IntenseQuote"/>
      </w:pPr>
      <w:r>
        <w:rPr>
          <w:b/>
          <w:color w:val="5A5A5A"/>
        </w:rPr>
        <w:t>[INSERT FIGURE 4: flights by month boxplot]</w:t>
      </w:r>
    </w:p>
    <w:p>
      <w:pPr>
        <w:pStyle w:val="IntenseQuote"/>
      </w:pPr>
      <w:r>
        <w:rPr>
          <w:b/>
          <w:color w:val="5A5A5A"/>
        </w:rPr>
        <w:t>[INSERT FIGURE 5: STL decomposition with weekly seasonality]</w:t>
      </w:r>
    </w:p>
    <w:p>
      <w:pPr>
        <w:pStyle w:val="Heading2"/>
      </w:pPr>
      <w:r>
        <w:t>2.2 Stationarity tests</w:t>
      </w:r>
    </w:p>
    <w:p>
      <w:r>
        <w:t>ADF and KPSS were used together to assess stationarity. ADF tests the null hypothesis of a unit root, while KPSS tests the null hypothesis of stationarity. The notebook runs both tests on the raw modern series and on the lag-7 differenced series. The lag-7 differenced version is especially useful for the ACF/PACF plots because it removes the main weekly cycle.</w:t>
      </w:r>
    </w:p>
    <w:tbl>
      <w:tblPr>
        <w:tblStyle w:val="TableGrid"/>
        <w:tblW w:type="auto" w:w="0"/>
        <w:jc w:val="center"/>
        <w:tblLook w:firstColumn="1" w:firstRow="1" w:lastColumn="0" w:lastRow="0" w:noHBand="0" w:noVBand="1" w:val="04A0"/>
      </w:tblPr>
      <w:tblGrid>
        <w:gridCol w:w="2448"/>
        <w:gridCol w:w="2448"/>
        <w:gridCol w:w="2448"/>
        <w:gridCol w:w="2448"/>
      </w:tblGrid>
      <w:tr>
        <w:trPr>
          <w:tblHeader w:val="true"/>
        </w:trPr>
        <w:tc>
          <w:tcPr>
            <w:tcW w:type="dxa" w:w="2448"/>
            <w:shd w:fill="1F4E79"/>
            <w:vAlign w:val="center"/>
          </w:tcPr>
          <w:p>
            <w:pPr>
              <w:spacing w:after="0"/>
            </w:pPr>
            <w:r/>
            <w:r>
              <w:rPr>
                <w:b/>
                <w:color w:val="FFFFFF"/>
              </w:rPr>
              <w:t>Series</w:t>
            </w:r>
          </w:p>
        </w:tc>
        <w:tc>
          <w:tcPr>
            <w:tcW w:type="dxa" w:w="2448"/>
            <w:shd w:fill="1F4E79"/>
            <w:vAlign w:val="center"/>
          </w:tcPr>
          <w:p>
            <w:pPr>
              <w:spacing w:after="0"/>
            </w:pPr>
            <w:r/>
            <w:r>
              <w:rPr>
                <w:b/>
                <w:color w:val="FFFFFF"/>
              </w:rPr>
              <w:t>ADF interpretation</w:t>
            </w:r>
          </w:p>
        </w:tc>
        <w:tc>
          <w:tcPr>
            <w:tcW w:type="dxa" w:w="2448"/>
            <w:shd w:fill="1F4E79"/>
            <w:vAlign w:val="center"/>
          </w:tcPr>
          <w:p>
            <w:pPr>
              <w:spacing w:after="0"/>
            </w:pPr>
            <w:r/>
            <w:r>
              <w:rPr>
                <w:b/>
                <w:color w:val="FFFFFF"/>
              </w:rPr>
              <w:t>KPSS interpretation</w:t>
            </w:r>
          </w:p>
        </w:tc>
        <w:tc>
          <w:tcPr>
            <w:tcW w:type="dxa" w:w="2448"/>
            <w:shd w:fill="1F4E79"/>
            <w:vAlign w:val="center"/>
          </w:tcPr>
          <w:p>
            <w:pPr>
              <w:spacing w:after="0"/>
            </w:pPr>
            <w:r/>
            <w:r>
              <w:rPr>
                <w:b/>
                <w:color w:val="FFFFFF"/>
              </w:rPr>
              <w:t>Modelling implication</w:t>
            </w:r>
          </w:p>
        </w:tc>
      </w:tr>
      <w:tr>
        <w:tc>
          <w:tcPr>
            <w:tcW w:type="dxa" w:w="2448"/>
            <w:vAlign w:val="top"/>
          </w:tcPr>
          <w:p>
            <w:pPr>
              <w:spacing w:after="0"/>
            </w:pPr>
            <w:r/>
            <w:r>
              <w:rPr>
                <w:b w:val="0"/>
              </w:rPr>
              <w:t>Raw modern series</w:t>
            </w:r>
          </w:p>
        </w:tc>
        <w:tc>
          <w:tcPr>
            <w:tcW w:type="dxa" w:w="2448"/>
            <w:vAlign w:val="top"/>
          </w:tcPr>
          <w:p>
            <w:pPr>
              <w:spacing w:after="0"/>
            </w:pPr>
            <w:r/>
            <w:r>
              <w:rPr>
                <w:b w:val="0"/>
              </w:rPr>
              <w:t>Reject unit root in the current run</w:t>
            </w:r>
          </w:p>
        </w:tc>
        <w:tc>
          <w:tcPr>
            <w:tcW w:type="dxa" w:w="2448"/>
            <w:vAlign w:val="top"/>
          </w:tcPr>
          <w:p>
            <w:pPr>
              <w:spacing w:after="0"/>
            </w:pPr>
            <w:r/>
            <w:r>
              <w:rPr>
                <w:b w:val="0"/>
              </w:rPr>
              <w:t>Cannot reject stationarity in the current run</w:t>
            </w:r>
          </w:p>
        </w:tc>
        <w:tc>
          <w:tcPr>
            <w:tcW w:type="dxa" w:w="2448"/>
            <w:vAlign w:val="top"/>
          </w:tcPr>
          <w:p>
            <w:pPr>
              <w:spacing w:after="0"/>
            </w:pPr>
            <w:r/>
            <w:r>
              <w:rPr>
                <w:b w:val="0"/>
              </w:rPr>
              <w:t>ARMA is applicable as a reference, but seasonality remains visible</w:t>
            </w:r>
          </w:p>
        </w:tc>
      </w:tr>
      <w:tr>
        <w:tc>
          <w:tcPr>
            <w:tcW w:type="dxa" w:w="2448"/>
            <w:vAlign w:val="top"/>
          </w:tcPr>
          <w:p>
            <w:pPr>
              <w:spacing w:after="0"/>
            </w:pPr>
            <w:r/>
            <w:r>
              <w:rPr>
                <w:b w:val="0"/>
              </w:rPr>
              <w:t>Lag-7 differenced series</w:t>
            </w:r>
          </w:p>
        </w:tc>
        <w:tc>
          <w:tcPr>
            <w:tcW w:type="dxa" w:w="2448"/>
            <w:vAlign w:val="top"/>
          </w:tcPr>
          <w:p>
            <w:pPr>
              <w:spacing w:after="0"/>
            </w:pPr>
            <w:r/>
            <w:r>
              <w:rPr>
                <w:b w:val="0"/>
              </w:rPr>
              <w:t>Reject unit root clearly</w:t>
            </w:r>
          </w:p>
        </w:tc>
        <w:tc>
          <w:tcPr>
            <w:tcW w:type="dxa" w:w="2448"/>
            <w:vAlign w:val="top"/>
          </w:tcPr>
          <w:p>
            <w:pPr>
              <w:spacing w:after="0"/>
            </w:pPr>
            <w:r/>
            <w:r>
              <w:rPr>
                <w:b w:val="0"/>
              </w:rPr>
              <w:t>Cannot reject stationarity</w:t>
            </w:r>
          </w:p>
        </w:tc>
        <w:tc>
          <w:tcPr>
            <w:tcW w:type="dxa" w:w="2448"/>
            <w:vAlign w:val="top"/>
          </w:tcPr>
          <w:p>
            <w:pPr>
              <w:spacing w:after="0"/>
            </w:pPr>
            <w:r/>
            <w:r>
              <w:rPr>
                <w:b w:val="0"/>
              </w:rPr>
              <w:t>Useful for selecting small ARIMA/SARIMA orders</w:t>
            </w:r>
          </w:p>
        </w:tc>
      </w:tr>
    </w:tbl>
    <w:p/>
    <w:p>
      <w:pPr>
        <w:pStyle w:val="IntenseQuote"/>
      </w:pPr>
      <w:r>
        <w:rPr>
          <w:b/>
          <w:color w:val="5A5A5A"/>
        </w:rPr>
        <w:t>[INSERT FIGURE 6: ACF and PACF after lag-7 differencing]</w:t>
      </w:r>
    </w:p>
    <w:p>
      <w:pPr>
        <w:pStyle w:val="Heading1"/>
      </w:pPr>
      <w:r>
        <w:t>3. Evaluation protocol and baselines</w:t>
      </w:r>
    </w:p>
    <w:p>
      <w:r>
        <w:t>All models are evaluated with the same rolling-origin strategy. The last 12 non-overlapping 14-day windows are held out. For each window, the model is trained or refitted using only the observations available before the forecast start date. This avoids leakage and produces a more reliable estimate than a single train/test split.</w:t>
      </w:r>
    </w:p>
    <w:tbl>
      <w:tblPr>
        <w:tblStyle w:val="TableGrid"/>
        <w:tblW w:type="auto" w:w="0"/>
        <w:jc w:val="center"/>
        <w:tblLook w:firstColumn="1" w:firstRow="1" w:lastColumn="0" w:lastRow="0" w:noHBand="0" w:noVBand="1" w:val="04A0"/>
      </w:tblPr>
      <w:tblGrid>
        <w:gridCol w:w="4896"/>
        <w:gridCol w:w="4896"/>
      </w:tblGrid>
      <w:tr>
        <w:trPr>
          <w:tblHeader w:val="true"/>
        </w:trPr>
        <w:tc>
          <w:tcPr>
            <w:tcW w:type="dxa" w:w="4896"/>
            <w:shd w:fill="1F4E79"/>
            <w:vAlign w:val="center"/>
          </w:tcPr>
          <w:p>
            <w:pPr>
              <w:spacing w:after="0"/>
            </w:pPr>
            <w:r/>
            <w:r>
              <w:rPr>
                <w:b/>
                <w:color w:val="FFFFFF"/>
              </w:rPr>
              <w:t>Parameter</w:t>
            </w:r>
          </w:p>
        </w:tc>
        <w:tc>
          <w:tcPr>
            <w:tcW w:type="dxa" w:w="4896"/>
            <w:shd w:fill="1F4E79"/>
            <w:vAlign w:val="center"/>
          </w:tcPr>
          <w:p>
            <w:pPr>
              <w:spacing w:after="0"/>
            </w:pPr>
            <w:r/>
            <w:r>
              <w:rPr>
                <w:b/>
                <w:color w:val="FFFFFF"/>
              </w:rPr>
              <w:t>Value</w:t>
            </w:r>
          </w:p>
        </w:tc>
      </w:tr>
      <w:tr>
        <w:tc>
          <w:tcPr>
            <w:tcW w:type="dxa" w:w="4896"/>
            <w:vAlign w:val="top"/>
          </w:tcPr>
          <w:p>
            <w:pPr>
              <w:spacing w:after="0"/>
            </w:pPr>
            <w:r/>
            <w:r>
              <w:rPr>
                <w:b w:val="0"/>
              </w:rPr>
              <w:t>Horizon</w:t>
            </w:r>
          </w:p>
        </w:tc>
        <w:tc>
          <w:tcPr>
            <w:tcW w:type="dxa" w:w="4896"/>
            <w:vAlign w:val="top"/>
          </w:tcPr>
          <w:p>
            <w:pPr>
              <w:spacing w:after="0"/>
            </w:pPr>
            <w:r/>
            <w:r>
              <w:rPr>
                <w:b w:val="0"/>
              </w:rPr>
              <w:t>14 days</w:t>
            </w:r>
          </w:p>
        </w:tc>
      </w:tr>
      <w:tr>
        <w:tc>
          <w:tcPr>
            <w:tcW w:type="dxa" w:w="4896"/>
            <w:vAlign w:val="top"/>
          </w:tcPr>
          <w:p>
            <w:pPr>
              <w:spacing w:after="0"/>
            </w:pPr>
            <w:r/>
            <w:r>
              <w:rPr>
                <w:b w:val="0"/>
              </w:rPr>
              <w:t>Number of windows</w:t>
            </w:r>
          </w:p>
        </w:tc>
        <w:tc>
          <w:tcPr>
            <w:tcW w:type="dxa" w:w="4896"/>
            <w:vAlign w:val="top"/>
          </w:tcPr>
          <w:p>
            <w:pPr>
              <w:spacing w:after="0"/>
            </w:pPr>
            <w:r/>
            <w:r>
              <w:rPr>
                <w:b w:val="0"/>
              </w:rPr>
              <w:t>12</w:t>
            </w:r>
          </w:p>
        </w:tc>
      </w:tr>
      <w:tr>
        <w:tc>
          <w:tcPr>
            <w:tcW w:type="dxa" w:w="4896"/>
            <w:vAlign w:val="top"/>
          </w:tcPr>
          <w:p>
            <w:pPr>
              <w:spacing w:after="0"/>
            </w:pPr>
            <w:r/>
            <w:r>
              <w:rPr>
                <w:b w:val="0"/>
              </w:rPr>
              <w:t>Step</w:t>
            </w:r>
          </w:p>
        </w:tc>
        <w:tc>
          <w:tcPr>
            <w:tcW w:type="dxa" w:w="4896"/>
            <w:vAlign w:val="top"/>
          </w:tcPr>
          <w:p>
            <w:pPr>
              <w:spacing w:after="0"/>
            </w:pPr>
            <w:r/>
            <w:r>
              <w:rPr>
                <w:b w:val="0"/>
              </w:rPr>
              <w:t>14 days</w:t>
            </w:r>
          </w:p>
        </w:tc>
      </w:tr>
      <w:tr>
        <w:tc>
          <w:tcPr>
            <w:tcW w:type="dxa" w:w="4896"/>
            <w:vAlign w:val="top"/>
          </w:tcPr>
          <w:p>
            <w:pPr>
              <w:spacing w:after="0"/>
            </w:pPr>
            <w:r/>
            <w:r>
              <w:rPr>
                <w:b w:val="0"/>
              </w:rPr>
              <w:t>Primary metric</w:t>
            </w:r>
          </w:p>
        </w:tc>
        <w:tc>
          <w:tcPr>
            <w:tcW w:type="dxa" w:w="4896"/>
            <w:vAlign w:val="top"/>
          </w:tcPr>
          <w:p>
            <w:pPr>
              <w:spacing w:after="0"/>
            </w:pPr>
            <w:r/>
            <w:r>
              <w:rPr>
                <w:b w:val="0"/>
              </w:rPr>
              <w:t>MAE</w:t>
            </w:r>
          </w:p>
        </w:tc>
      </w:tr>
      <w:tr>
        <w:tc>
          <w:tcPr>
            <w:tcW w:type="dxa" w:w="4896"/>
            <w:vAlign w:val="top"/>
          </w:tcPr>
          <w:p>
            <w:pPr>
              <w:spacing w:after="0"/>
            </w:pPr>
            <w:r/>
            <w:r>
              <w:rPr>
                <w:b w:val="0"/>
              </w:rPr>
              <w:t>Secondary metric</w:t>
            </w:r>
          </w:p>
        </w:tc>
        <w:tc>
          <w:tcPr>
            <w:tcW w:type="dxa" w:w="4896"/>
            <w:vAlign w:val="top"/>
          </w:tcPr>
          <w:p>
            <w:pPr>
              <w:spacing w:after="0"/>
            </w:pPr>
            <w:r/>
            <w:r>
              <w:rPr>
                <w:b w:val="0"/>
              </w:rPr>
              <w:t>RMSE</w:t>
            </w:r>
          </w:p>
        </w:tc>
      </w:tr>
      <w:tr>
        <w:tc>
          <w:tcPr>
            <w:tcW w:type="dxa" w:w="4896"/>
            <w:vAlign w:val="top"/>
          </w:tcPr>
          <w:p>
            <w:pPr>
              <w:spacing w:after="0"/>
            </w:pPr>
            <w:r/>
            <w:r>
              <w:rPr>
                <w:b w:val="0"/>
              </w:rPr>
              <w:t>Reason for MAE</w:t>
            </w:r>
          </w:p>
        </w:tc>
        <w:tc>
          <w:tcPr>
            <w:tcW w:type="dxa" w:w="4896"/>
            <w:vAlign w:val="top"/>
          </w:tcPr>
          <w:p>
            <w:pPr>
              <w:spacing w:after="0"/>
            </w:pPr>
            <w:r/>
            <w:r>
              <w:rPr>
                <w:b w:val="0"/>
              </w:rPr>
              <w:t>Directly interpretable as average error in flights per day</w:t>
            </w:r>
          </w:p>
        </w:tc>
      </w:tr>
    </w:tbl>
    <w:p/>
    <w:p>
      <w:r>
        <w:t>Three baselines are included: last value, historical mean and seasonal naive lag-7. The seasonal naive baseline is the main practical benchmark because it repeats the most recent week and therefore captures the strong weekly structure with almost no modelling complexity.</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3264"/>
            <w:shd w:fill="1F4E79"/>
            <w:vAlign w:val="center"/>
          </w:tcPr>
          <w:p>
            <w:pPr>
              <w:spacing w:after="0"/>
            </w:pPr>
            <w:r/>
            <w:r>
              <w:rPr>
                <w:b/>
                <w:color w:val="FFFFFF"/>
              </w:rPr>
              <w:t>Baseline</w:t>
            </w:r>
          </w:p>
        </w:tc>
        <w:tc>
          <w:tcPr>
            <w:tcW w:type="dxa" w:w="3264"/>
            <w:shd w:fill="1F4E79"/>
            <w:vAlign w:val="center"/>
          </w:tcPr>
          <w:p>
            <w:pPr>
              <w:spacing w:after="0"/>
            </w:pPr>
            <w:r/>
            <w:r>
              <w:rPr>
                <w:b/>
                <w:color w:val="FFFFFF"/>
              </w:rPr>
              <w:t>Definition</w:t>
            </w:r>
          </w:p>
        </w:tc>
        <w:tc>
          <w:tcPr>
            <w:tcW w:type="dxa" w:w="3264"/>
            <w:shd w:fill="1F4E79"/>
            <w:vAlign w:val="center"/>
          </w:tcPr>
          <w:p>
            <w:pPr>
              <w:spacing w:after="0"/>
            </w:pPr>
            <w:r/>
            <w:r>
              <w:rPr>
                <w:b/>
                <w:color w:val="FFFFFF"/>
              </w:rPr>
              <w:t>Why it matters</w:t>
            </w:r>
          </w:p>
        </w:tc>
      </w:tr>
      <w:tr>
        <w:tc>
          <w:tcPr>
            <w:tcW w:type="dxa" w:w="3264"/>
            <w:vAlign w:val="top"/>
          </w:tcPr>
          <w:p>
            <w:pPr>
              <w:spacing w:after="0"/>
            </w:pPr>
            <w:r/>
            <w:r>
              <w:rPr>
                <w:b w:val="0"/>
              </w:rPr>
              <w:t>Last value</w:t>
            </w:r>
          </w:p>
        </w:tc>
        <w:tc>
          <w:tcPr>
            <w:tcW w:type="dxa" w:w="3264"/>
            <w:vAlign w:val="top"/>
          </w:tcPr>
          <w:p>
            <w:pPr>
              <w:spacing w:after="0"/>
            </w:pPr>
            <w:r/>
            <w:r>
              <w:rPr>
                <w:b w:val="0"/>
              </w:rPr>
              <w:t>All 14 days are forecast as the most recent observed value</w:t>
            </w:r>
          </w:p>
        </w:tc>
        <w:tc>
          <w:tcPr>
            <w:tcW w:type="dxa" w:w="3264"/>
            <w:vAlign w:val="top"/>
          </w:tcPr>
          <w:p>
            <w:pPr>
              <w:spacing w:after="0"/>
            </w:pPr>
            <w:r/>
            <w:r>
              <w:rPr>
                <w:b w:val="0"/>
              </w:rPr>
              <w:t>Tests whether a model beats pure persistence</w:t>
            </w:r>
          </w:p>
        </w:tc>
      </w:tr>
      <w:tr>
        <w:tc>
          <w:tcPr>
            <w:tcW w:type="dxa" w:w="3264"/>
            <w:vAlign w:val="top"/>
          </w:tcPr>
          <w:p>
            <w:pPr>
              <w:spacing w:after="0"/>
            </w:pPr>
            <w:r/>
            <w:r>
              <w:rPr>
                <w:b w:val="0"/>
              </w:rPr>
              <w:t>Mean</w:t>
            </w:r>
          </w:p>
        </w:tc>
        <w:tc>
          <w:tcPr>
            <w:tcW w:type="dxa" w:w="3264"/>
            <w:vAlign w:val="top"/>
          </w:tcPr>
          <w:p>
            <w:pPr>
              <w:spacing w:after="0"/>
            </w:pPr>
            <w:r/>
            <w:r>
              <w:rPr>
                <w:b w:val="0"/>
              </w:rPr>
              <w:t>All 14 days are forecast as the training mean</w:t>
            </w:r>
          </w:p>
        </w:tc>
        <w:tc>
          <w:tcPr>
            <w:tcW w:type="dxa" w:w="3264"/>
            <w:vAlign w:val="top"/>
          </w:tcPr>
          <w:p>
            <w:pPr>
              <w:spacing w:after="0"/>
            </w:pPr>
            <w:r/>
            <w:r>
              <w:rPr>
                <w:b w:val="0"/>
              </w:rPr>
              <w:t>Represents a very simple long-run average benchmark</w:t>
            </w:r>
          </w:p>
        </w:tc>
      </w:tr>
      <w:tr>
        <w:tc>
          <w:tcPr>
            <w:tcW w:type="dxa" w:w="3264"/>
            <w:vAlign w:val="top"/>
          </w:tcPr>
          <w:p>
            <w:pPr>
              <w:spacing w:after="0"/>
            </w:pPr>
            <w:r/>
            <w:r>
              <w:rPr>
                <w:b w:val="0"/>
              </w:rPr>
              <w:t>Seasonal naive lag-7</w:t>
            </w:r>
          </w:p>
        </w:tc>
        <w:tc>
          <w:tcPr>
            <w:tcW w:type="dxa" w:w="3264"/>
            <w:vAlign w:val="top"/>
          </w:tcPr>
          <w:p>
            <w:pPr>
              <w:spacing w:after="0"/>
            </w:pPr>
            <w:r/>
            <w:r>
              <w:rPr>
                <w:b w:val="0"/>
              </w:rPr>
              <w:t>The last observed week is repeated twice</w:t>
            </w:r>
          </w:p>
        </w:tc>
        <w:tc>
          <w:tcPr>
            <w:tcW w:type="dxa" w:w="3264"/>
            <w:vAlign w:val="top"/>
          </w:tcPr>
          <w:p>
            <w:pPr>
              <w:spacing w:after="0"/>
            </w:pPr>
            <w:r/>
            <w:r>
              <w:rPr>
                <w:b w:val="0"/>
              </w:rPr>
              <w:t>Strong baseline for daily data with weekly seasonality</w:t>
            </w:r>
          </w:p>
        </w:tc>
      </w:tr>
    </w:tbl>
    <w:p/>
    <w:p>
      <w:pPr>
        <w:pStyle w:val="IntenseQuote"/>
      </w:pPr>
      <w:r>
        <w:rPr>
          <w:b/>
          <w:color w:val="5A5A5A"/>
        </w:rPr>
        <w:t>[INSERT FIGURE 7: baseline forecasts on the first test window]</w:t>
      </w:r>
    </w:p>
    <w:p>
      <w:pPr>
        <w:pStyle w:val="Heading1"/>
      </w:pPr>
      <w:r>
        <w:t>4. ARMA</w:t>
      </w:r>
    </w:p>
    <w:p>
      <w:r>
        <w:t>ARMA models assume stationarity and do not include an integrated differencing term. Since the stationarity tests do not clearly reject stationarity for the modern series, ARMA is applied as a valid classical reference. However, it is not expected to be the best model because the series contains clear weekly and annual seasonal structure.</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3264"/>
            <w:shd w:fill="1F4E79"/>
            <w:vAlign w:val="center"/>
          </w:tcPr>
          <w:p>
            <w:pPr>
              <w:spacing w:after="0"/>
            </w:pPr>
            <w:r/>
            <w:r>
              <w:rPr>
                <w:b/>
                <w:color w:val="FFFFFF"/>
              </w:rPr>
              <w:t>Model</w:t>
            </w:r>
          </w:p>
        </w:tc>
        <w:tc>
          <w:tcPr>
            <w:tcW w:type="dxa" w:w="3264"/>
            <w:shd w:fill="1F4E79"/>
            <w:vAlign w:val="center"/>
          </w:tcPr>
          <w:p>
            <w:pPr>
              <w:spacing w:after="0"/>
            </w:pPr>
            <w:r/>
            <w:r>
              <w:rPr>
                <w:b/>
                <w:color w:val="FFFFFF"/>
              </w:rPr>
              <w:t>Implementation</w:t>
            </w:r>
          </w:p>
        </w:tc>
        <w:tc>
          <w:tcPr>
            <w:tcW w:type="dxa" w:w="3264"/>
            <w:shd w:fill="1F4E79"/>
            <w:vAlign w:val="center"/>
          </w:tcPr>
          <w:p>
            <w:pPr>
              <w:spacing w:after="0"/>
            </w:pPr>
            <w:r/>
            <w:r>
              <w:rPr>
                <w:b/>
                <w:color w:val="FFFFFF"/>
              </w:rPr>
              <w:t>Purpose</w:t>
            </w:r>
          </w:p>
        </w:tc>
      </w:tr>
      <w:tr>
        <w:tc>
          <w:tcPr>
            <w:tcW w:type="dxa" w:w="3264"/>
            <w:vAlign w:val="top"/>
          </w:tcPr>
          <w:p>
            <w:pPr>
              <w:spacing w:after="0"/>
            </w:pPr>
            <w:r/>
            <w:r>
              <w:rPr>
                <w:b w:val="0"/>
              </w:rPr>
              <w:t>ARMA(1,1)</w:t>
            </w:r>
          </w:p>
        </w:tc>
        <w:tc>
          <w:tcPr>
            <w:tcW w:type="dxa" w:w="3264"/>
            <w:vAlign w:val="top"/>
          </w:tcPr>
          <w:p>
            <w:pPr>
              <w:spacing w:after="0"/>
            </w:pPr>
            <w:r/>
            <w:r>
              <w:rPr>
                <w:b w:val="0"/>
              </w:rPr>
              <w:t>SARIMAX order=(1,0,1)</w:t>
            </w:r>
          </w:p>
        </w:tc>
        <w:tc>
          <w:tcPr>
            <w:tcW w:type="dxa" w:w="3264"/>
            <w:vAlign w:val="top"/>
          </w:tcPr>
          <w:p>
            <w:pPr>
              <w:spacing w:after="0"/>
            </w:pPr>
            <w:r/>
            <w:r>
              <w:rPr>
                <w:b w:val="0"/>
              </w:rPr>
              <w:t>Small stationary benchmark</w:t>
            </w:r>
          </w:p>
        </w:tc>
      </w:tr>
      <w:tr>
        <w:tc>
          <w:tcPr>
            <w:tcW w:type="dxa" w:w="3264"/>
            <w:vAlign w:val="top"/>
          </w:tcPr>
          <w:p>
            <w:pPr>
              <w:spacing w:after="0"/>
            </w:pPr>
            <w:r/>
            <w:r>
              <w:rPr>
                <w:b w:val="0"/>
              </w:rPr>
              <w:t>ARMA(2,2)</w:t>
            </w:r>
          </w:p>
        </w:tc>
        <w:tc>
          <w:tcPr>
            <w:tcW w:type="dxa" w:w="3264"/>
            <w:vAlign w:val="top"/>
          </w:tcPr>
          <w:p>
            <w:pPr>
              <w:spacing w:after="0"/>
            </w:pPr>
            <w:r/>
            <w:r>
              <w:rPr>
                <w:b w:val="0"/>
              </w:rPr>
              <w:t>SARIMAX order=(2,0,2)</w:t>
            </w:r>
          </w:p>
        </w:tc>
        <w:tc>
          <w:tcPr>
            <w:tcW w:type="dxa" w:w="3264"/>
            <w:vAlign w:val="top"/>
          </w:tcPr>
          <w:p>
            <w:pPr>
              <w:spacing w:after="0"/>
            </w:pPr>
            <w:r/>
            <w:r>
              <w:rPr>
                <w:b w:val="0"/>
              </w:rPr>
              <w:t>Tests whether adding short autoregressive and moving-average terms improves forecasts</w:t>
            </w:r>
          </w:p>
        </w:tc>
      </w:tr>
    </w:tbl>
    <w:p/>
    <w:p>
      <w:pPr>
        <w:pStyle w:val="IntenseQuote"/>
      </w:pPr>
      <w:r>
        <w:rPr>
          <w:b/>
          <w:color w:val="5A5A5A"/>
        </w:rPr>
        <w:t>[INSERT TABLE 1: ARMA MAE/RMSE results copied from the notebook]</w:t>
      </w:r>
    </w:p>
    <w:p>
      <w:pPr>
        <w:pStyle w:val="Heading1"/>
      </w:pPr>
      <w:r>
        <w:t>5. ARIMA</w:t>
      </w:r>
    </w:p>
    <w:p>
      <w:r>
        <w:t>ARIMA introduces an integrated component and is required by the D2.2 rubric. Two different combinations of p and q are tested: ARIMA(1,1,1) and ARIMA(2,1,2). In addition, the notebook implements a naive seasonal approach by manually applying a lag-7 seasonal difference and then reconstructing forecasts recursively. This allows ARIMA to benefit from the weekly pattern without moving to a full seasonal SARIMA model.</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3264"/>
            <w:shd w:fill="1F4E79"/>
            <w:vAlign w:val="center"/>
          </w:tcPr>
          <w:p>
            <w:pPr>
              <w:spacing w:after="0"/>
            </w:pPr>
            <w:r/>
            <w:r>
              <w:rPr>
                <w:b/>
                <w:color w:val="FFFFFF"/>
              </w:rPr>
              <w:t>Model</w:t>
            </w:r>
          </w:p>
        </w:tc>
        <w:tc>
          <w:tcPr>
            <w:tcW w:type="dxa" w:w="3264"/>
            <w:shd w:fill="1F4E79"/>
            <w:vAlign w:val="center"/>
          </w:tcPr>
          <w:p>
            <w:pPr>
              <w:spacing w:after="0"/>
            </w:pPr>
            <w:r/>
            <w:r>
              <w:rPr>
                <w:b/>
                <w:color w:val="FFFFFF"/>
              </w:rPr>
              <w:t>Order</w:t>
            </w:r>
          </w:p>
        </w:tc>
        <w:tc>
          <w:tcPr>
            <w:tcW w:type="dxa" w:w="3264"/>
            <w:shd w:fill="1F4E79"/>
            <w:vAlign w:val="center"/>
          </w:tcPr>
          <w:p>
            <w:pPr>
              <w:spacing w:after="0"/>
            </w:pPr>
            <w:r/>
            <w:r>
              <w:rPr>
                <w:b/>
                <w:color w:val="FFFFFF"/>
              </w:rPr>
              <w:t>Comment</w:t>
            </w:r>
          </w:p>
        </w:tc>
      </w:tr>
      <w:tr>
        <w:tc>
          <w:tcPr>
            <w:tcW w:type="dxa" w:w="3264"/>
            <w:vAlign w:val="top"/>
          </w:tcPr>
          <w:p>
            <w:pPr>
              <w:spacing w:after="0"/>
            </w:pPr>
            <w:r/>
            <w:r>
              <w:rPr>
                <w:b w:val="0"/>
              </w:rPr>
              <w:t>ARIMA(1,1,1)</w:t>
            </w:r>
          </w:p>
        </w:tc>
        <w:tc>
          <w:tcPr>
            <w:tcW w:type="dxa" w:w="3264"/>
            <w:vAlign w:val="top"/>
          </w:tcPr>
          <w:p>
            <w:pPr>
              <w:spacing w:after="0"/>
            </w:pPr>
            <w:r/>
            <w:r>
              <w:rPr>
                <w:b w:val="0"/>
              </w:rPr>
              <w:t>(1,1,1)</w:t>
            </w:r>
          </w:p>
        </w:tc>
        <w:tc>
          <w:tcPr>
            <w:tcW w:type="dxa" w:w="3264"/>
            <w:vAlign w:val="top"/>
          </w:tcPr>
          <w:p>
            <w:pPr>
              <w:spacing w:after="0"/>
            </w:pPr>
            <w:r/>
            <w:r>
              <w:rPr>
                <w:b w:val="0"/>
              </w:rPr>
              <w:t>Simple integrated model</w:t>
            </w:r>
          </w:p>
        </w:tc>
      </w:tr>
      <w:tr>
        <w:tc>
          <w:tcPr>
            <w:tcW w:type="dxa" w:w="3264"/>
            <w:vAlign w:val="top"/>
          </w:tcPr>
          <w:p>
            <w:pPr>
              <w:spacing w:after="0"/>
            </w:pPr>
            <w:r/>
            <w:r>
              <w:rPr>
                <w:b w:val="0"/>
              </w:rPr>
              <w:t>ARIMA(2,1,2)</w:t>
            </w:r>
          </w:p>
        </w:tc>
        <w:tc>
          <w:tcPr>
            <w:tcW w:type="dxa" w:w="3264"/>
            <w:vAlign w:val="top"/>
          </w:tcPr>
          <w:p>
            <w:pPr>
              <w:spacing w:after="0"/>
            </w:pPr>
            <w:r/>
            <w:r>
              <w:rPr>
                <w:b w:val="0"/>
              </w:rPr>
              <w:t>(2,1,2)</w:t>
            </w:r>
          </w:p>
        </w:tc>
        <w:tc>
          <w:tcPr>
            <w:tcW w:type="dxa" w:w="3264"/>
            <w:vAlign w:val="top"/>
          </w:tcPr>
          <w:p>
            <w:pPr>
              <w:spacing w:after="0"/>
            </w:pPr>
            <w:r/>
            <w:r>
              <w:rPr>
                <w:b w:val="0"/>
              </w:rPr>
              <w:t>More flexible p/q structure</w:t>
            </w:r>
          </w:p>
        </w:tc>
      </w:tr>
      <w:tr>
        <w:tc>
          <w:tcPr>
            <w:tcW w:type="dxa" w:w="3264"/>
            <w:vAlign w:val="top"/>
          </w:tcPr>
          <w:p>
            <w:pPr>
              <w:spacing w:after="0"/>
            </w:pPr>
            <w:r/>
            <w:r>
              <w:rPr>
                <w:b w:val="0"/>
              </w:rPr>
              <w:t>ARIMA + manual seasonal diff(7)</w:t>
            </w:r>
          </w:p>
        </w:tc>
        <w:tc>
          <w:tcPr>
            <w:tcW w:type="dxa" w:w="3264"/>
            <w:vAlign w:val="top"/>
          </w:tcPr>
          <w:p>
            <w:pPr>
              <w:spacing w:after="0"/>
            </w:pPr>
            <w:r/>
            <w:r>
              <w:rPr>
                <w:b w:val="0"/>
              </w:rPr>
              <w:t>ARIMA on y_t - y_(t-7)</w:t>
            </w:r>
          </w:p>
        </w:tc>
        <w:tc>
          <w:tcPr>
            <w:tcW w:type="dxa" w:w="3264"/>
            <w:vAlign w:val="top"/>
          </w:tcPr>
          <w:p>
            <w:pPr>
              <w:spacing w:after="0"/>
            </w:pPr>
            <w:r/>
            <w:r>
              <w:rPr>
                <w:b w:val="0"/>
              </w:rPr>
              <w:t>Naive seasonal strategy requested by the rubric</w:t>
            </w:r>
          </w:p>
        </w:tc>
      </w:tr>
    </w:tbl>
    <w:p/>
    <w:p>
      <w:pPr>
        <w:pStyle w:val="IntenseQuote"/>
      </w:pPr>
      <w:r>
        <w:rPr>
          <w:b/>
          <w:color w:val="5A5A5A"/>
        </w:rPr>
        <w:t>[INSERT TABLE 2: ARIMA MAE/RMSE results copied from the notebook]</w:t>
      </w:r>
    </w:p>
    <w:p>
      <w:pPr>
        <w:pStyle w:val="Heading1"/>
      </w:pPr>
      <w:r>
        <w:t>6. SARIMA</w:t>
      </w:r>
    </w:p>
    <w:p>
      <w:r>
        <w:t>SARIMA extends ARIMA with seasonal terms. The selected seasonal period is m=7 because the weekly cycle is the strongest short-cycle pattern in the data. A full annual daily SARIMA with m=365 is not used because it would be computationally heavy and unstable in rolling evaluation. The annual tourist cycle is acknowledged in the analysis, but it is not modelled directly with a 365-day seasonal order.</w:t>
      </w:r>
    </w:p>
    <w:tbl>
      <w:tblPr>
        <w:tblStyle w:val="TableGrid"/>
        <w:tblW w:type="auto" w:w="0"/>
        <w:jc w:val="center"/>
        <w:tblLook w:firstColumn="1" w:firstRow="1" w:lastColumn="0" w:lastRow="0" w:noHBand="0" w:noVBand="1" w:val="04A0"/>
      </w:tblPr>
      <w:tblGrid>
        <w:gridCol w:w="2448"/>
        <w:gridCol w:w="2448"/>
        <w:gridCol w:w="2448"/>
        <w:gridCol w:w="2448"/>
      </w:tblGrid>
      <w:tr>
        <w:trPr>
          <w:tblHeader w:val="true"/>
        </w:trPr>
        <w:tc>
          <w:tcPr>
            <w:tcW w:type="dxa" w:w="2448"/>
            <w:shd w:fill="1F4E79"/>
            <w:vAlign w:val="center"/>
          </w:tcPr>
          <w:p>
            <w:pPr>
              <w:spacing w:after="0"/>
            </w:pPr>
            <w:r/>
            <w:r>
              <w:rPr>
                <w:b/>
                <w:color w:val="FFFFFF"/>
              </w:rPr>
              <w:t>Model</w:t>
            </w:r>
          </w:p>
        </w:tc>
        <w:tc>
          <w:tcPr>
            <w:tcW w:type="dxa" w:w="2448"/>
            <w:shd w:fill="1F4E79"/>
            <w:vAlign w:val="center"/>
          </w:tcPr>
          <w:p>
            <w:pPr>
              <w:spacing w:after="0"/>
            </w:pPr>
            <w:r/>
            <w:r>
              <w:rPr>
                <w:b/>
                <w:color w:val="FFFFFF"/>
              </w:rPr>
              <w:t>Non-seasonal order</w:t>
            </w:r>
          </w:p>
        </w:tc>
        <w:tc>
          <w:tcPr>
            <w:tcW w:type="dxa" w:w="2448"/>
            <w:shd w:fill="1F4E79"/>
            <w:vAlign w:val="center"/>
          </w:tcPr>
          <w:p>
            <w:pPr>
              <w:spacing w:after="0"/>
            </w:pPr>
            <w:r/>
            <w:r>
              <w:rPr>
                <w:b/>
                <w:color w:val="FFFFFF"/>
              </w:rPr>
              <w:t>Seasonal order</w:t>
            </w:r>
          </w:p>
        </w:tc>
        <w:tc>
          <w:tcPr>
            <w:tcW w:type="dxa" w:w="2448"/>
            <w:shd w:fill="1F4E79"/>
            <w:vAlign w:val="center"/>
          </w:tcPr>
          <w:p>
            <w:pPr>
              <w:spacing w:after="0"/>
            </w:pPr>
            <w:r/>
            <w:r>
              <w:rPr>
                <w:b/>
                <w:color w:val="FFFFFF"/>
              </w:rPr>
              <w:t>Rationale</w:t>
            </w:r>
          </w:p>
        </w:tc>
      </w:tr>
      <w:tr>
        <w:tc>
          <w:tcPr>
            <w:tcW w:type="dxa" w:w="2448"/>
            <w:vAlign w:val="top"/>
          </w:tcPr>
          <w:p>
            <w:pPr>
              <w:spacing w:after="0"/>
            </w:pPr>
            <w:r/>
            <w:r>
              <w:rPr>
                <w:b w:val="0"/>
              </w:rPr>
              <w:t>SARIMA A</w:t>
            </w:r>
          </w:p>
        </w:tc>
        <w:tc>
          <w:tcPr>
            <w:tcW w:type="dxa" w:w="2448"/>
            <w:vAlign w:val="top"/>
          </w:tcPr>
          <w:p>
            <w:pPr>
              <w:spacing w:after="0"/>
            </w:pPr>
            <w:r/>
            <w:r>
              <w:rPr>
                <w:b w:val="0"/>
              </w:rPr>
              <w:t>(1,0,1)</w:t>
            </w:r>
          </w:p>
        </w:tc>
        <w:tc>
          <w:tcPr>
            <w:tcW w:type="dxa" w:w="2448"/>
            <w:vAlign w:val="top"/>
          </w:tcPr>
          <w:p>
            <w:pPr>
              <w:spacing w:after="0"/>
            </w:pPr>
            <w:r/>
            <w:r>
              <w:rPr>
                <w:b w:val="0"/>
              </w:rPr>
              <w:t>(1,1,1,7)</w:t>
            </w:r>
          </w:p>
        </w:tc>
        <w:tc>
          <w:tcPr>
            <w:tcW w:type="dxa" w:w="2448"/>
            <w:vAlign w:val="top"/>
          </w:tcPr>
          <w:p>
            <w:pPr>
              <w:spacing w:after="0"/>
            </w:pPr>
            <w:r/>
            <w:r>
              <w:rPr>
                <w:b w:val="0"/>
              </w:rPr>
              <w:t>Compact weekly seasonal model</w:t>
            </w:r>
          </w:p>
        </w:tc>
      </w:tr>
      <w:tr>
        <w:tc>
          <w:tcPr>
            <w:tcW w:type="dxa" w:w="2448"/>
            <w:vAlign w:val="top"/>
          </w:tcPr>
          <w:p>
            <w:pPr>
              <w:spacing w:after="0"/>
            </w:pPr>
            <w:r/>
            <w:r>
              <w:rPr>
                <w:b w:val="0"/>
              </w:rPr>
              <w:t>SARIMA B</w:t>
            </w:r>
          </w:p>
        </w:tc>
        <w:tc>
          <w:tcPr>
            <w:tcW w:type="dxa" w:w="2448"/>
            <w:vAlign w:val="top"/>
          </w:tcPr>
          <w:p>
            <w:pPr>
              <w:spacing w:after="0"/>
            </w:pPr>
            <w:r/>
            <w:r>
              <w:rPr>
                <w:b w:val="0"/>
              </w:rPr>
              <w:t>(2,0,1)</w:t>
            </w:r>
          </w:p>
        </w:tc>
        <w:tc>
          <w:tcPr>
            <w:tcW w:type="dxa" w:w="2448"/>
            <w:vAlign w:val="top"/>
          </w:tcPr>
          <w:p>
            <w:pPr>
              <w:spacing w:after="0"/>
            </w:pPr>
            <w:r/>
            <w:r>
              <w:rPr>
                <w:b w:val="0"/>
              </w:rPr>
              <w:t>(1,1,1,7)</w:t>
            </w:r>
          </w:p>
        </w:tc>
        <w:tc>
          <w:tcPr>
            <w:tcW w:type="dxa" w:w="2448"/>
            <w:vAlign w:val="top"/>
          </w:tcPr>
          <w:p>
            <w:pPr>
              <w:spacing w:after="0"/>
            </w:pPr>
            <w:r/>
            <w:r>
              <w:rPr>
                <w:b w:val="0"/>
              </w:rPr>
              <w:t>Tests a slightly richer AR structure</w:t>
            </w:r>
          </w:p>
        </w:tc>
      </w:tr>
    </w:tbl>
    <w:p/>
    <w:p>
      <w:pPr>
        <w:pStyle w:val="IntenseQuote"/>
      </w:pPr>
      <w:r>
        <w:rPr>
          <w:b/>
          <w:color w:val="5A5A5A"/>
        </w:rPr>
        <w:t>[INSERT TABLE 3: SARIMA MAE/RMSE results copied from the notebook]</w:t>
      </w:r>
    </w:p>
    <w:p>
      <w:pPr>
        <w:pStyle w:val="Heading1"/>
      </w:pPr>
      <w:r>
        <w:t>7. AutoARIMA</w:t>
      </w:r>
    </w:p>
    <w:p>
      <w:r>
        <w:t>AutoARIMA is run in two configurations: without seasonality and with weekly seasonality. In both cases, the automatic order search is performed once on the initial training set. The selected orders are then refitted across the rolling windows. This is a practical compromise that avoids running a full stepwise order search for every window while still evaluating the chosen order out of sample.</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3264"/>
            <w:shd w:fill="1F4E79"/>
            <w:vAlign w:val="center"/>
          </w:tcPr>
          <w:p>
            <w:pPr>
              <w:spacing w:after="0"/>
            </w:pPr>
            <w:r/>
            <w:r>
              <w:rPr>
                <w:b/>
                <w:color w:val="FFFFFF"/>
              </w:rPr>
              <w:t>Configuration</w:t>
            </w:r>
          </w:p>
        </w:tc>
        <w:tc>
          <w:tcPr>
            <w:tcW w:type="dxa" w:w="3264"/>
            <w:shd w:fill="1F4E79"/>
            <w:vAlign w:val="center"/>
          </w:tcPr>
          <w:p>
            <w:pPr>
              <w:spacing w:after="0"/>
            </w:pPr>
            <w:r/>
            <w:r>
              <w:rPr>
                <w:b/>
                <w:color w:val="FFFFFF"/>
              </w:rPr>
              <w:t>Seasonality</w:t>
            </w:r>
          </w:p>
        </w:tc>
        <w:tc>
          <w:tcPr>
            <w:tcW w:type="dxa" w:w="3264"/>
            <w:shd w:fill="1F4E79"/>
            <w:vAlign w:val="center"/>
          </w:tcPr>
          <w:p>
            <w:pPr>
              <w:spacing w:after="0"/>
            </w:pPr>
            <w:r/>
            <w:r>
              <w:rPr>
                <w:b/>
                <w:color w:val="FFFFFF"/>
              </w:rPr>
              <w:t>Expected interpretation</w:t>
            </w:r>
          </w:p>
        </w:tc>
      </w:tr>
      <w:tr>
        <w:tc>
          <w:tcPr>
            <w:tcW w:type="dxa" w:w="3264"/>
            <w:vAlign w:val="top"/>
          </w:tcPr>
          <w:p>
            <w:pPr>
              <w:spacing w:after="0"/>
            </w:pPr>
            <w:r/>
            <w:r>
              <w:rPr>
                <w:b w:val="0"/>
              </w:rPr>
              <w:t>AutoARIMA non-seasonal</w:t>
            </w:r>
          </w:p>
        </w:tc>
        <w:tc>
          <w:tcPr>
            <w:tcW w:type="dxa" w:w="3264"/>
            <w:vAlign w:val="top"/>
          </w:tcPr>
          <w:p>
            <w:pPr>
              <w:spacing w:after="0"/>
            </w:pPr>
            <w:r/>
            <w:r>
              <w:rPr>
                <w:b w:val="0"/>
              </w:rPr>
              <w:t>seasonal=False</w:t>
            </w:r>
          </w:p>
        </w:tc>
        <w:tc>
          <w:tcPr>
            <w:tcW w:type="dxa" w:w="3264"/>
            <w:vAlign w:val="top"/>
          </w:tcPr>
          <w:p>
            <w:pPr>
              <w:spacing w:after="0"/>
            </w:pPr>
            <w:r/>
            <w:r>
              <w:rPr>
                <w:b w:val="0"/>
              </w:rPr>
              <w:t>Tests whether automatic p/d/q selection can compete without explicit seasonality</w:t>
            </w:r>
          </w:p>
        </w:tc>
      </w:tr>
      <w:tr>
        <w:tc>
          <w:tcPr>
            <w:tcW w:type="dxa" w:w="3264"/>
            <w:vAlign w:val="top"/>
          </w:tcPr>
          <w:p>
            <w:pPr>
              <w:spacing w:after="0"/>
            </w:pPr>
            <w:r/>
            <w:r>
              <w:rPr>
                <w:b w:val="0"/>
              </w:rPr>
              <w:t>AutoARIMA seasonal</w:t>
            </w:r>
          </w:p>
        </w:tc>
        <w:tc>
          <w:tcPr>
            <w:tcW w:type="dxa" w:w="3264"/>
            <w:vAlign w:val="top"/>
          </w:tcPr>
          <w:p>
            <w:pPr>
              <w:spacing w:after="0"/>
            </w:pPr>
            <w:r/>
            <w:r>
              <w:rPr>
                <w:b w:val="0"/>
              </w:rPr>
              <w:t>seasonal=True, m=7</w:t>
            </w:r>
          </w:p>
        </w:tc>
        <w:tc>
          <w:tcPr>
            <w:tcW w:type="dxa" w:w="3264"/>
            <w:vAlign w:val="top"/>
          </w:tcPr>
          <w:p>
            <w:pPr>
              <w:spacing w:after="0"/>
            </w:pPr>
            <w:r/>
            <w:r>
              <w:rPr>
                <w:b w:val="0"/>
              </w:rPr>
              <w:t>Expected to benefit from the weekly cycle</w:t>
            </w:r>
          </w:p>
        </w:tc>
      </w:tr>
    </w:tbl>
    <w:p/>
    <w:p>
      <w:pPr>
        <w:pStyle w:val="IntenseQuote"/>
      </w:pPr>
      <w:r>
        <w:rPr>
          <w:b/>
          <w:color w:val="5A5A5A"/>
        </w:rPr>
        <w:t>[INSERT TABLE 4: selected AutoARIMA orders and MAE/RMSE results]</w:t>
      </w:r>
    </w:p>
    <w:p>
      <w:pPr>
        <w:pStyle w:val="IntenseQuote"/>
      </w:pPr>
      <w:r>
        <w:rPr>
          <w:b/>
          <w:color w:val="5A5A5A"/>
        </w:rPr>
        <w:t>[INSERT FIGURE 8: AutoARIMA first-window forecast comparison]</w:t>
      </w:r>
    </w:p>
    <w:p>
      <w:pPr>
        <w:pStyle w:val="Heading1"/>
      </w:pPr>
      <w:r>
        <w:t>8. Transformer-based architecture</w:t>
      </w:r>
    </w:p>
    <w:p>
      <w:r>
        <w:t>The required Transformer-based model is implemented directly in PyTorch as an encoder-only architecture. The model receives a 90-day input window and predicts the next 14 days. Inputs are z-score normalised using only the initial training period. The model is trained once before the first test window, and then the context window slides forward during rolling evaluation.</w:t>
      </w:r>
    </w:p>
    <w:tbl>
      <w:tblPr>
        <w:tblStyle w:val="TableGrid"/>
        <w:tblW w:type="auto" w:w="0"/>
        <w:jc w:val="center"/>
        <w:tblLook w:firstColumn="1" w:firstRow="1" w:lastColumn="0" w:lastRow="0" w:noHBand="0" w:noVBand="1" w:val="04A0"/>
      </w:tblPr>
      <w:tblGrid>
        <w:gridCol w:w="4896"/>
        <w:gridCol w:w="4896"/>
      </w:tblGrid>
      <w:tr>
        <w:trPr>
          <w:tblHeader w:val="true"/>
        </w:trPr>
        <w:tc>
          <w:tcPr>
            <w:tcW w:type="dxa" w:w="4896"/>
            <w:shd w:fill="1F4E79"/>
            <w:vAlign w:val="center"/>
          </w:tcPr>
          <w:p>
            <w:pPr>
              <w:spacing w:after="0"/>
            </w:pPr>
            <w:r/>
            <w:r>
              <w:rPr>
                <w:b/>
                <w:color w:val="FFFFFF"/>
              </w:rPr>
              <w:t>Hyperparameter</w:t>
            </w:r>
          </w:p>
        </w:tc>
        <w:tc>
          <w:tcPr>
            <w:tcW w:type="dxa" w:w="4896"/>
            <w:shd w:fill="1F4E79"/>
            <w:vAlign w:val="center"/>
          </w:tcPr>
          <w:p>
            <w:pPr>
              <w:spacing w:after="0"/>
            </w:pPr>
            <w:r/>
            <w:r>
              <w:rPr>
                <w:b/>
                <w:color w:val="FFFFFF"/>
              </w:rPr>
              <w:t>Value</w:t>
            </w:r>
          </w:p>
        </w:tc>
      </w:tr>
      <w:tr>
        <w:tc>
          <w:tcPr>
            <w:tcW w:type="dxa" w:w="4896"/>
            <w:vAlign w:val="top"/>
          </w:tcPr>
          <w:p>
            <w:pPr>
              <w:spacing w:after="0"/>
            </w:pPr>
            <w:r/>
            <w:r>
              <w:rPr>
                <w:b w:val="0"/>
              </w:rPr>
              <w:t>Input window</w:t>
            </w:r>
          </w:p>
        </w:tc>
        <w:tc>
          <w:tcPr>
            <w:tcW w:type="dxa" w:w="4896"/>
            <w:vAlign w:val="top"/>
          </w:tcPr>
          <w:p>
            <w:pPr>
              <w:spacing w:after="0"/>
            </w:pPr>
            <w:r/>
            <w:r>
              <w:rPr>
                <w:b w:val="0"/>
              </w:rPr>
              <w:t>90 days</w:t>
            </w:r>
          </w:p>
        </w:tc>
      </w:tr>
      <w:tr>
        <w:tc>
          <w:tcPr>
            <w:tcW w:type="dxa" w:w="4896"/>
            <w:vAlign w:val="top"/>
          </w:tcPr>
          <w:p>
            <w:pPr>
              <w:spacing w:after="0"/>
            </w:pPr>
            <w:r/>
            <w:r>
              <w:rPr>
                <w:b w:val="0"/>
              </w:rPr>
              <w:t>Forecast horizon</w:t>
            </w:r>
          </w:p>
        </w:tc>
        <w:tc>
          <w:tcPr>
            <w:tcW w:type="dxa" w:w="4896"/>
            <w:vAlign w:val="top"/>
          </w:tcPr>
          <w:p>
            <w:pPr>
              <w:spacing w:after="0"/>
            </w:pPr>
            <w:r/>
            <w:r>
              <w:rPr>
                <w:b w:val="0"/>
              </w:rPr>
              <w:t>14 days</w:t>
            </w:r>
          </w:p>
        </w:tc>
      </w:tr>
      <w:tr>
        <w:tc>
          <w:tcPr>
            <w:tcW w:type="dxa" w:w="4896"/>
            <w:vAlign w:val="top"/>
          </w:tcPr>
          <w:p>
            <w:pPr>
              <w:spacing w:after="0"/>
            </w:pPr>
            <w:r/>
            <w:r>
              <w:rPr>
                <w:b w:val="0"/>
              </w:rPr>
              <w:t>d_model</w:t>
            </w:r>
          </w:p>
        </w:tc>
        <w:tc>
          <w:tcPr>
            <w:tcW w:type="dxa" w:w="4896"/>
            <w:vAlign w:val="top"/>
          </w:tcPr>
          <w:p>
            <w:pPr>
              <w:spacing w:after="0"/>
            </w:pPr>
            <w:r/>
            <w:r>
              <w:rPr>
                <w:b w:val="0"/>
              </w:rPr>
              <w:t>64</w:t>
            </w:r>
          </w:p>
        </w:tc>
      </w:tr>
      <w:tr>
        <w:tc>
          <w:tcPr>
            <w:tcW w:type="dxa" w:w="4896"/>
            <w:vAlign w:val="top"/>
          </w:tcPr>
          <w:p>
            <w:pPr>
              <w:spacing w:after="0"/>
            </w:pPr>
            <w:r/>
            <w:r>
              <w:rPr>
                <w:b w:val="0"/>
              </w:rPr>
              <w:t>Attention heads</w:t>
            </w:r>
          </w:p>
        </w:tc>
        <w:tc>
          <w:tcPr>
            <w:tcW w:type="dxa" w:w="4896"/>
            <w:vAlign w:val="top"/>
          </w:tcPr>
          <w:p>
            <w:pPr>
              <w:spacing w:after="0"/>
            </w:pPr>
            <w:r/>
            <w:r>
              <w:rPr>
                <w:b w:val="0"/>
              </w:rPr>
              <w:t>4</w:t>
            </w:r>
          </w:p>
        </w:tc>
      </w:tr>
      <w:tr>
        <w:tc>
          <w:tcPr>
            <w:tcW w:type="dxa" w:w="4896"/>
            <w:vAlign w:val="top"/>
          </w:tcPr>
          <w:p>
            <w:pPr>
              <w:spacing w:after="0"/>
            </w:pPr>
            <w:r/>
            <w:r>
              <w:rPr>
                <w:b w:val="0"/>
              </w:rPr>
              <w:t>Encoder layers</w:t>
            </w:r>
          </w:p>
        </w:tc>
        <w:tc>
          <w:tcPr>
            <w:tcW w:type="dxa" w:w="4896"/>
            <w:vAlign w:val="top"/>
          </w:tcPr>
          <w:p>
            <w:pPr>
              <w:spacing w:after="0"/>
            </w:pPr>
            <w:r/>
            <w:r>
              <w:rPr>
                <w:b w:val="0"/>
              </w:rPr>
              <w:t>2</w:t>
            </w:r>
          </w:p>
        </w:tc>
      </w:tr>
      <w:tr>
        <w:tc>
          <w:tcPr>
            <w:tcW w:type="dxa" w:w="4896"/>
            <w:vAlign w:val="top"/>
          </w:tcPr>
          <w:p>
            <w:pPr>
              <w:spacing w:after="0"/>
            </w:pPr>
            <w:r/>
            <w:r>
              <w:rPr>
                <w:b w:val="0"/>
              </w:rPr>
              <w:t>Feedforward dimension</w:t>
            </w:r>
          </w:p>
        </w:tc>
        <w:tc>
          <w:tcPr>
            <w:tcW w:type="dxa" w:w="4896"/>
            <w:vAlign w:val="top"/>
          </w:tcPr>
          <w:p>
            <w:pPr>
              <w:spacing w:after="0"/>
            </w:pPr>
            <w:r/>
            <w:r>
              <w:rPr>
                <w:b w:val="0"/>
              </w:rPr>
              <w:t>128</w:t>
            </w:r>
          </w:p>
        </w:tc>
      </w:tr>
      <w:tr>
        <w:tc>
          <w:tcPr>
            <w:tcW w:type="dxa" w:w="4896"/>
            <w:vAlign w:val="top"/>
          </w:tcPr>
          <w:p>
            <w:pPr>
              <w:spacing w:after="0"/>
            </w:pPr>
            <w:r/>
            <w:r>
              <w:rPr>
                <w:b w:val="0"/>
              </w:rPr>
              <w:t>Learning rate</w:t>
            </w:r>
          </w:p>
        </w:tc>
        <w:tc>
          <w:tcPr>
            <w:tcW w:type="dxa" w:w="4896"/>
            <w:vAlign w:val="top"/>
          </w:tcPr>
          <w:p>
            <w:pPr>
              <w:spacing w:after="0"/>
            </w:pPr>
            <w:r/>
            <w:r>
              <w:rPr>
                <w:b w:val="0"/>
              </w:rPr>
              <w:t>1e-3</w:t>
            </w:r>
          </w:p>
        </w:tc>
      </w:tr>
      <w:tr>
        <w:tc>
          <w:tcPr>
            <w:tcW w:type="dxa" w:w="4896"/>
            <w:vAlign w:val="top"/>
          </w:tcPr>
          <w:p>
            <w:pPr>
              <w:spacing w:after="0"/>
            </w:pPr>
            <w:r/>
            <w:r>
              <w:rPr>
                <w:b w:val="0"/>
              </w:rPr>
              <w:t>Epochs</w:t>
            </w:r>
          </w:p>
        </w:tc>
        <w:tc>
          <w:tcPr>
            <w:tcW w:type="dxa" w:w="4896"/>
            <w:vAlign w:val="top"/>
          </w:tcPr>
          <w:p>
            <w:pPr>
              <w:spacing w:after="0"/>
            </w:pPr>
            <w:r/>
            <w:r>
              <w:rPr>
                <w:b w:val="0"/>
              </w:rPr>
              <w:t>80</w:t>
            </w:r>
          </w:p>
        </w:tc>
      </w:tr>
      <w:tr>
        <w:tc>
          <w:tcPr>
            <w:tcW w:type="dxa" w:w="4896"/>
            <w:vAlign w:val="top"/>
          </w:tcPr>
          <w:p>
            <w:pPr>
              <w:spacing w:after="0"/>
            </w:pPr>
            <w:r/>
            <w:r>
              <w:rPr>
                <w:b w:val="0"/>
              </w:rPr>
              <w:t>Batch size</w:t>
            </w:r>
          </w:p>
        </w:tc>
        <w:tc>
          <w:tcPr>
            <w:tcW w:type="dxa" w:w="4896"/>
            <w:vAlign w:val="top"/>
          </w:tcPr>
          <w:p>
            <w:pPr>
              <w:spacing w:after="0"/>
            </w:pPr>
            <w:r/>
            <w:r>
              <w:rPr>
                <w:b w:val="0"/>
              </w:rPr>
              <w:t>64</w:t>
            </w:r>
          </w:p>
        </w:tc>
      </w:tr>
    </w:tbl>
    <w:p/>
    <w:p>
      <w:r>
        <w:t>The Transformer is valuable because it satisfies the deep-learning requirement and provides a non-linear sequence model. However, its performance must be interpreted against the seasonal naive, SARIMA and AutoARIMA baselines. For short-horizon daily forecasting, classical seasonal models can be extremely competitive.</w:t>
      </w:r>
    </w:p>
    <w:p>
      <w:pPr>
        <w:pStyle w:val="IntenseQuote"/>
      </w:pPr>
      <w:r>
        <w:rPr>
          <w:b/>
          <w:color w:val="5A5A5A"/>
        </w:rPr>
        <w:t>[INSERT FIGURE 9: Transformer training curve]</w:t>
      </w:r>
    </w:p>
    <w:p>
      <w:pPr>
        <w:pStyle w:val="IntenseQuote"/>
      </w:pPr>
      <w:r>
        <w:rPr>
          <w:b/>
          <w:color w:val="5A5A5A"/>
        </w:rPr>
        <w:t>[INSERT FIGURE 10: Transformer forecast on the first test window]</w:t>
      </w:r>
    </w:p>
    <w:p>
      <w:pPr>
        <w:pStyle w:val="Heading1"/>
      </w:pPr>
      <w:r>
        <w:t>9. Results discussion</w:t>
      </w:r>
    </w:p>
    <w:p>
      <w:r>
        <w:t>The final comparison should be based on the table produced by the corrected notebook. All models must be compared using the same metric and the same rolling windows. The discussion should focus on whether each model beats the seasonal naive baseline, not only on which model has the lowest absolute error.</w:t>
      </w:r>
    </w:p>
    <w:tbl>
      <w:tblPr>
        <w:tblStyle w:val="TableGrid"/>
        <w:tblW w:type="auto" w:w="0"/>
        <w:jc w:val="center"/>
        <w:tblLook w:firstColumn="1" w:firstRow="1" w:lastColumn="0" w:lastRow="0" w:noHBand="0" w:noVBand="1" w:val="04A0"/>
      </w:tblPr>
      <w:tblGrid>
        <w:gridCol w:w="1958"/>
        <w:gridCol w:w="1958"/>
        <w:gridCol w:w="1958"/>
        <w:gridCol w:w="1958"/>
        <w:gridCol w:w="1958"/>
      </w:tblGrid>
      <w:tr>
        <w:trPr>
          <w:tblHeader w:val="true"/>
        </w:trPr>
        <w:tc>
          <w:tcPr>
            <w:tcW w:type="dxa" w:w="1958"/>
            <w:shd w:fill="1F4E79"/>
            <w:vAlign w:val="center"/>
          </w:tcPr>
          <w:p>
            <w:pPr>
              <w:spacing w:after="0"/>
            </w:pPr>
            <w:r/>
            <w:r>
              <w:rPr>
                <w:b/>
                <w:color w:val="FFFFFF"/>
              </w:rPr>
              <w:t>Rank</w:t>
            </w:r>
          </w:p>
        </w:tc>
        <w:tc>
          <w:tcPr>
            <w:tcW w:type="dxa" w:w="1958"/>
            <w:shd w:fill="1F4E79"/>
            <w:vAlign w:val="center"/>
          </w:tcPr>
          <w:p>
            <w:pPr>
              <w:spacing w:after="0"/>
            </w:pPr>
            <w:r/>
            <w:r>
              <w:rPr>
                <w:b/>
                <w:color w:val="FFFFFF"/>
              </w:rPr>
              <w:t>Model</w:t>
            </w:r>
          </w:p>
        </w:tc>
        <w:tc>
          <w:tcPr>
            <w:tcW w:type="dxa" w:w="1958"/>
            <w:shd w:fill="1F4E79"/>
            <w:vAlign w:val="center"/>
          </w:tcPr>
          <w:p>
            <w:pPr>
              <w:spacing w:after="0"/>
            </w:pPr>
            <w:r/>
            <w:r>
              <w:rPr>
                <w:b/>
                <w:color w:val="FFFFFF"/>
              </w:rPr>
              <w:t>MAE (flights/day)</w:t>
            </w:r>
          </w:p>
        </w:tc>
        <w:tc>
          <w:tcPr>
            <w:tcW w:type="dxa" w:w="1958"/>
            <w:shd w:fill="1F4E79"/>
            <w:vAlign w:val="center"/>
          </w:tcPr>
          <w:p>
            <w:pPr>
              <w:spacing w:after="0"/>
            </w:pPr>
            <w:r/>
            <w:r>
              <w:rPr>
                <w:b/>
                <w:color w:val="FFFFFF"/>
              </w:rPr>
              <w:t>RMSE (flights/day)</w:t>
            </w:r>
          </w:p>
        </w:tc>
        <w:tc>
          <w:tcPr>
            <w:tcW w:type="dxa" w:w="1958"/>
            <w:shd w:fill="1F4E79"/>
            <w:vAlign w:val="center"/>
          </w:tcPr>
          <w:p>
            <w:pPr>
              <w:spacing w:after="0"/>
            </w:pPr>
            <w:r/>
            <w:r>
              <w:rPr>
                <w:b/>
                <w:color w:val="FFFFFF"/>
              </w:rPr>
              <w:t>Comment</w:t>
            </w:r>
          </w:p>
        </w:tc>
      </w:tr>
      <w:tr>
        <w:tc>
          <w:tcPr>
            <w:tcW w:type="dxa" w:w="1958"/>
            <w:vAlign w:val="top"/>
          </w:tcPr>
          <w:p>
            <w:pPr>
              <w:spacing w:after="0"/>
            </w:pPr>
            <w:r/>
            <w:r>
              <w:rPr>
                <w:b w:val="0"/>
              </w:rPr>
              <w:t>1</w:t>
            </w:r>
          </w:p>
        </w:tc>
        <w:tc>
          <w:tcPr>
            <w:tcW w:type="dxa" w:w="1958"/>
            <w:vAlign w:val="top"/>
          </w:tcPr>
          <w:p>
            <w:pPr>
              <w:spacing w:after="0"/>
            </w:pPr>
            <w:r/>
            <w:r>
              <w:rPr>
                <w:b w:val="0"/>
              </w:rPr>
              <w:t>[paste from notebook]</w:t>
            </w:r>
          </w:p>
        </w:tc>
        <w:tc>
          <w:tcPr>
            <w:tcW w:type="dxa" w:w="1958"/>
            <w:vAlign w:val="top"/>
          </w:tcPr>
          <w:p>
            <w:pPr>
              <w:spacing w:after="0"/>
            </w:pPr>
            <w:r/>
            <w:r>
              <w:rPr>
                <w:b w:val="0"/>
              </w:rPr>
              <w:t>[paste]</w:t>
            </w:r>
          </w:p>
        </w:tc>
        <w:tc>
          <w:tcPr>
            <w:tcW w:type="dxa" w:w="1958"/>
            <w:vAlign w:val="top"/>
          </w:tcPr>
          <w:p>
            <w:pPr>
              <w:spacing w:after="0"/>
            </w:pPr>
            <w:r/>
            <w:r>
              <w:rPr>
                <w:b w:val="0"/>
              </w:rPr>
              <w:t>[paste]</w:t>
            </w:r>
          </w:p>
        </w:tc>
        <w:tc>
          <w:tcPr>
            <w:tcW w:type="dxa" w:w="1958"/>
            <w:vAlign w:val="top"/>
          </w:tcPr>
          <w:p>
            <w:pPr>
              <w:spacing w:after="0"/>
            </w:pPr>
            <w:r/>
            <w:r>
              <w:rPr>
                <w:b w:val="0"/>
              </w:rPr>
              <w:t>Best model by MAE</w:t>
            </w:r>
          </w:p>
        </w:tc>
      </w:tr>
      <w:tr>
        <w:tc>
          <w:tcPr>
            <w:tcW w:type="dxa" w:w="1958"/>
            <w:vAlign w:val="top"/>
          </w:tcPr>
          <w:p>
            <w:pPr>
              <w:spacing w:after="0"/>
            </w:pPr>
            <w:r/>
            <w:r>
              <w:rPr>
                <w:b w:val="0"/>
              </w:rPr>
              <w:t>2</w:t>
            </w:r>
          </w:p>
        </w:tc>
        <w:tc>
          <w:tcPr>
            <w:tcW w:type="dxa" w:w="1958"/>
            <w:vAlign w:val="top"/>
          </w:tcPr>
          <w:p>
            <w:pPr>
              <w:spacing w:after="0"/>
            </w:pPr>
            <w:r/>
            <w:r>
              <w:rPr>
                <w:b w:val="0"/>
              </w:rPr>
              <w:t>[paste from notebook]</w:t>
            </w:r>
          </w:p>
        </w:tc>
        <w:tc>
          <w:tcPr>
            <w:tcW w:type="dxa" w:w="1958"/>
            <w:vAlign w:val="top"/>
          </w:tcPr>
          <w:p>
            <w:pPr>
              <w:spacing w:after="0"/>
            </w:pPr>
            <w:r/>
            <w:r>
              <w:rPr>
                <w:b w:val="0"/>
              </w:rPr>
              <w:t>[paste]</w:t>
            </w:r>
          </w:p>
        </w:tc>
        <w:tc>
          <w:tcPr>
            <w:tcW w:type="dxa" w:w="1958"/>
            <w:vAlign w:val="top"/>
          </w:tcPr>
          <w:p>
            <w:pPr>
              <w:spacing w:after="0"/>
            </w:pPr>
            <w:r/>
            <w:r>
              <w:rPr>
                <w:b w:val="0"/>
              </w:rPr>
              <w:t>[paste]</w:t>
            </w:r>
          </w:p>
        </w:tc>
        <w:tc>
          <w:tcPr>
            <w:tcW w:type="dxa" w:w="1958"/>
            <w:vAlign w:val="top"/>
          </w:tcPr>
          <w:p>
            <w:pPr>
              <w:spacing w:after="0"/>
            </w:pPr>
            <w:r/>
            <w:r>
              <w:rPr>
                <w:b w:val="0"/>
              </w:rPr>
              <w:t>Second-best model</w:t>
            </w:r>
          </w:p>
        </w:tc>
      </w:tr>
      <w:tr>
        <w:tc>
          <w:tcPr>
            <w:tcW w:type="dxa" w:w="1958"/>
            <w:vAlign w:val="top"/>
          </w:tcPr>
          <w:p>
            <w:pPr>
              <w:spacing w:after="0"/>
            </w:pPr>
            <w:r/>
            <w:r>
              <w:rPr>
                <w:b w:val="0"/>
              </w:rPr>
              <w:t>3</w:t>
            </w:r>
          </w:p>
        </w:tc>
        <w:tc>
          <w:tcPr>
            <w:tcW w:type="dxa" w:w="1958"/>
            <w:vAlign w:val="top"/>
          </w:tcPr>
          <w:p>
            <w:pPr>
              <w:spacing w:after="0"/>
            </w:pPr>
            <w:r/>
            <w:r>
              <w:rPr>
                <w:b w:val="0"/>
              </w:rPr>
              <w:t>[paste from notebook]</w:t>
            </w:r>
          </w:p>
        </w:tc>
        <w:tc>
          <w:tcPr>
            <w:tcW w:type="dxa" w:w="1958"/>
            <w:vAlign w:val="top"/>
          </w:tcPr>
          <w:p>
            <w:pPr>
              <w:spacing w:after="0"/>
            </w:pPr>
            <w:r/>
            <w:r>
              <w:rPr>
                <w:b w:val="0"/>
              </w:rPr>
              <w:t>[paste]</w:t>
            </w:r>
          </w:p>
        </w:tc>
        <w:tc>
          <w:tcPr>
            <w:tcW w:type="dxa" w:w="1958"/>
            <w:vAlign w:val="top"/>
          </w:tcPr>
          <w:p>
            <w:pPr>
              <w:spacing w:after="0"/>
            </w:pPr>
            <w:r/>
            <w:r>
              <w:rPr>
                <w:b w:val="0"/>
              </w:rPr>
              <w:t>[paste]</w:t>
            </w:r>
          </w:p>
        </w:tc>
        <w:tc>
          <w:tcPr>
            <w:tcW w:type="dxa" w:w="1958"/>
            <w:vAlign w:val="top"/>
          </w:tcPr>
          <w:p>
            <w:pPr>
              <w:spacing w:after="0"/>
            </w:pPr>
            <w:r/>
            <w:r>
              <w:rPr>
                <w:b w:val="0"/>
              </w:rPr>
              <w:t>Third-best model</w:t>
            </w:r>
          </w:p>
        </w:tc>
      </w:tr>
      <w:tr>
        <w:tc>
          <w:tcPr>
            <w:tcW w:type="dxa" w:w="1958"/>
            <w:vAlign w:val="top"/>
          </w:tcPr>
          <w:p>
            <w:pPr>
              <w:spacing w:after="0"/>
            </w:pPr>
            <w:r/>
            <w:r>
              <w:rPr>
                <w:b w:val="0"/>
              </w:rPr>
              <w:t>...</w:t>
            </w:r>
          </w:p>
        </w:tc>
        <w:tc>
          <w:tcPr>
            <w:tcW w:type="dxa" w:w="1958"/>
            <w:vAlign w:val="top"/>
          </w:tcPr>
          <w:p>
            <w:pPr>
              <w:spacing w:after="0"/>
            </w:pPr>
            <w:r/>
            <w:r>
              <w:rPr>
                <w:b w:val="0"/>
              </w:rPr>
              <w:t>Seasonal naive baseline</w:t>
            </w:r>
          </w:p>
        </w:tc>
        <w:tc>
          <w:tcPr>
            <w:tcW w:type="dxa" w:w="1958"/>
            <w:vAlign w:val="top"/>
          </w:tcPr>
          <w:p>
            <w:pPr>
              <w:spacing w:after="0"/>
            </w:pPr>
            <w:r/>
            <w:r>
              <w:rPr>
                <w:b w:val="0"/>
              </w:rPr>
              <w:t>[paste]</w:t>
            </w:r>
          </w:p>
        </w:tc>
        <w:tc>
          <w:tcPr>
            <w:tcW w:type="dxa" w:w="1958"/>
            <w:vAlign w:val="top"/>
          </w:tcPr>
          <w:p>
            <w:pPr>
              <w:spacing w:after="0"/>
            </w:pPr>
            <w:r/>
            <w:r>
              <w:rPr>
                <w:b w:val="0"/>
              </w:rPr>
              <w:t>[paste]</w:t>
            </w:r>
          </w:p>
        </w:tc>
        <w:tc>
          <w:tcPr>
            <w:tcW w:type="dxa" w:w="1958"/>
            <w:vAlign w:val="top"/>
          </w:tcPr>
          <w:p>
            <w:pPr>
              <w:spacing w:after="0"/>
            </w:pPr>
            <w:r/>
            <w:r>
              <w:rPr>
                <w:b w:val="0"/>
              </w:rPr>
              <w:t>Reference baseline to beat</w:t>
            </w:r>
          </w:p>
        </w:tc>
      </w:tr>
      <w:tr>
        <w:tc>
          <w:tcPr>
            <w:tcW w:type="dxa" w:w="1958"/>
            <w:vAlign w:val="top"/>
          </w:tcPr>
          <w:p>
            <w:pPr>
              <w:spacing w:after="0"/>
            </w:pPr>
            <w:r/>
            <w:r>
              <w:rPr>
                <w:b w:val="0"/>
              </w:rPr>
              <w:t>...</w:t>
            </w:r>
          </w:p>
        </w:tc>
        <w:tc>
          <w:tcPr>
            <w:tcW w:type="dxa" w:w="1958"/>
            <w:vAlign w:val="top"/>
          </w:tcPr>
          <w:p>
            <w:pPr>
              <w:spacing w:after="0"/>
            </w:pPr>
            <w:r/>
            <w:r>
              <w:rPr>
                <w:b w:val="0"/>
              </w:rPr>
              <w:t>Transformer encoder</w:t>
            </w:r>
          </w:p>
        </w:tc>
        <w:tc>
          <w:tcPr>
            <w:tcW w:type="dxa" w:w="1958"/>
            <w:vAlign w:val="top"/>
          </w:tcPr>
          <w:p>
            <w:pPr>
              <w:spacing w:after="0"/>
            </w:pPr>
            <w:r/>
            <w:r>
              <w:rPr>
                <w:b w:val="0"/>
              </w:rPr>
              <w:t>[paste]</w:t>
            </w:r>
          </w:p>
        </w:tc>
        <w:tc>
          <w:tcPr>
            <w:tcW w:type="dxa" w:w="1958"/>
            <w:vAlign w:val="top"/>
          </w:tcPr>
          <w:p>
            <w:pPr>
              <w:spacing w:after="0"/>
            </w:pPr>
            <w:r/>
            <w:r>
              <w:rPr>
                <w:b w:val="0"/>
              </w:rPr>
              <w:t>[paste]</w:t>
            </w:r>
          </w:p>
        </w:tc>
        <w:tc>
          <w:tcPr>
            <w:tcW w:type="dxa" w:w="1958"/>
            <w:vAlign w:val="top"/>
          </w:tcPr>
          <w:p>
            <w:pPr>
              <w:spacing w:after="0"/>
            </w:pPr>
            <w:r/>
            <w:r>
              <w:rPr>
                <w:b w:val="0"/>
              </w:rPr>
              <w:t>Required deep-learning model</w:t>
            </w:r>
          </w:p>
        </w:tc>
      </w:tr>
    </w:tbl>
    <w:p/>
    <w:p>
      <w:pPr>
        <w:pStyle w:val="IntenseQuote"/>
      </w:pPr>
      <w:r>
        <w:rPr>
          <w:b/>
          <w:color w:val="5A5A5A"/>
        </w:rPr>
        <w:t>[INSERT FIGURE 11: model comparison bar chart by MAE]</w:t>
      </w:r>
    </w:p>
    <w:p>
      <w:pPr>
        <w:pStyle w:val="IntenseQuote"/>
      </w:pPr>
      <w:r>
        <w:rPr>
          <w:b/>
          <w:color w:val="5A5A5A"/>
        </w:rPr>
        <w:t>[INSERT FIGURE 12: per-window MAE trajectory]</w:t>
      </w:r>
    </w:p>
    <w:p>
      <w:r>
        <w:t>Suggested wording after inserting the final numbers: The best model achieved an MAE of [X] flights/day. Compared with the seasonal naive baseline, this represents an improvement of [Y] flights/day. The models with explicit weekly seasonality performed strongly, confirming the pattern observed in the decomposition and day-of-week analysis. The Transformer [matched / did not match] the best classical models, which suggests that model complexity alone is not sufficient; the evaluation metric, seasonality treatment and leakage-free validation design are more important.</w:t>
      </w:r>
    </w:p>
    <w:p>
      <w:pPr>
        <w:pStyle w:val="Heading1"/>
      </w:pPr>
      <w:r>
        <w:t>10. Lessons learned</w:t>
      </w:r>
    </w:p>
    <w:p>
      <w:pPr>
        <w:pStyle w:val="ListBullet"/>
      </w:pPr>
      <w:r>
        <w:t>Rolling-origin evaluation is more robust than a single train/test split because it tests repeated out-of-sample generalisation.</w:t>
      </w:r>
    </w:p>
    <w:p>
      <w:pPr>
        <w:pStyle w:val="ListBullet"/>
      </w:pPr>
      <w:r>
        <w:t>Missing-value handling in time series requires special care. Trailing unpublished dates must be trimmed before imputation to avoid synthetic ground truth.</w:t>
      </w:r>
    </w:p>
    <w:p>
      <w:pPr>
        <w:pStyle w:val="ListBullet"/>
      </w:pPr>
      <w:r>
        <w:t>Weekly seasonality is the dominant short-cycle pattern in LEPA daily traffic and explains why seasonal naive and SARIMA-type models are strong.</w:t>
      </w:r>
    </w:p>
    <w:p>
      <w:pPr>
        <w:pStyle w:val="ListBullet"/>
      </w:pPr>
      <w:r>
        <w:t>Annual seasonality exists, but a daily SARIMA with m=365 is not practical for this rolling evaluation; the notebook explicitly justifies using m=7.</w:t>
      </w:r>
    </w:p>
    <w:p>
      <w:pPr>
        <w:pStyle w:val="ListBullet"/>
      </w:pPr>
      <w:r>
        <w:t>AutoARIMA is useful as a structured order-selection method, but it should still be evaluated out of sample with the same windows as the other models.</w:t>
      </w:r>
    </w:p>
    <w:p>
      <w:pPr>
        <w:pStyle w:val="ListBullet"/>
      </w:pPr>
      <w:r>
        <w:t>The Transformer satisfies the neural forecasting requirement, but its value must be judged against simpler baselines rather than assumed from model complexity alone.</w:t>
      </w:r>
    </w:p>
    <w:p>
      <w:pPr>
        <w:pStyle w:val="Heading1"/>
      </w:pPr>
      <w:r>
        <w:t>11. Code corrections and final checklist</w:t>
      </w:r>
    </w:p>
    <w:p>
      <w:pPr>
        <w:pStyle w:val="Heading2"/>
      </w:pPr>
      <w:r>
        <w:t>11.1 Corrections made to the notebook</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3264"/>
            <w:shd w:fill="1F4E79"/>
            <w:vAlign w:val="center"/>
          </w:tcPr>
          <w:p>
            <w:pPr>
              <w:spacing w:after="0"/>
            </w:pPr>
            <w:r/>
            <w:r>
              <w:rPr>
                <w:b/>
                <w:color w:val="FFFFFF"/>
              </w:rPr>
              <w:t>Problem in the original notebook</w:t>
            </w:r>
          </w:p>
        </w:tc>
        <w:tc>
          <w:tcPr>
            <w:tcW w:type="dxa" w:w="3264"/>
            <w:shd w:fill="1F4E79"/>
            <w:vAlign w:val="center"/>
          </w:tcPr>
          <w:p>
            <w:pPr>
              <w:spacing w:after="0"/>
            </w:pPr>
            <w:r/>
            <w:r>
              <w:rPr>
                <w:b/>
                <w:color w:val="FFFFFF"/>
              </w:rPr>
              <w:t>Why it mattered</w:t>
            </w:r>
          </w:p>
        </w:tc>
        <w:tc>
          <w:tcPr>
            <w:tcW w:type="dxa" w:w="3264"/>
            <w:shd w:fill="1F4E79"/>
            <w:vAlign w:val="center"/>
          </w:tcPr>
          <w:p>
            <w:pPr>
              <w:spacing w:after="0"/>
            </w:pPr>
            <w:r/>
            <w:r>
              <w:rPr>
                <w:b/>
                <w:color w:val="FFFFFF"/>
              </w:rPr>
              <w:t>Correction implemented</w:t>
            </w:r>
          </w:p>
        </w:tc>
      </w:tr>
      <w:tr>
        <w:tc>
          <w:tcPr>
            <w:tcW w:type="dxa" w:w="3264"/>
            <w:vAlign w:val="top"/>
          </w:tcPr>
          <w:p>
            <w:pPr>
              <w:spacing w:after="0"/>
            </w:pPr>
            <w:r/>
            <w:r>
              <w:rPr>
                <w:b w:val="0"/>
              </w:rPr>
              <w:t>Baseline metrics returned NaN</w:t>
            </w:r>
          </w:p>
        </w:tc>
        <w:tc>
          <w:tcPr>
            <w:tcW w:type="dxa" w:w="3264"/>
            <w:vAlign w:val="top"/>
          </w:tcPr>
          <w:p>
            <w:pPr>
              <w:spacing w:after="0"/>
            </w:pPr>
            <w:r/>
            <w:r>
              <w:rPr>
                <w:b w:val="0"/>
              </w:rPr>
              <w:t>The test windows or forecasts contained missing values, so the comparison table was invalid</w:t>
            </w:r>
          </w:p>
        </w:tc>
        <w:tc>
          <w:tcPr>
            <w:tcW w:type="dxa" w:w="3264"/>
            <w:vAlign w:val="top"/>
          </w:tcPr>
          <w:p>
            <w:pPr>
              <w:spacing w:after="0"/>
            </w:pPr>
            <w:r/>
            <w:r>
              <w:rPr>
                <w:b w:val="0"/>
              </w:rPr>
              <w:t>Trim trailing unpublished dates before imputation and assert no NaNs in train/test windows</w:t>
            </w:r>
          </w:p>
        </w:tc>
      </w:tr>
      <w:tr>
        <w:tc>
          <w:tcPr>
            <w:tcW w:type="dxa" w:w="3264"/>
            <w:vAlign w:val="top"/>
          </w:tcPr>
          <w:p>
            <w:pPr>
              <w:spacing w:after="0"/>
            </w:pPr>
            <w:r/>
            <w:r>
              <w:rPr>
                <w:b w:val="0"/>
              </w:rPr>
              <w:t>ARMA, ARIMA and SARIMA sections were marked “To do”</w:t>
            </w:r>
          </w:p>
        </w:tc>
        <w:tc>
          <w:tcPr>
            <w:tcW w:type="dxa" w:w="3264"/>
            <w:vAlign w:val="top"/>
          </w:tcPr>
          <w:p>
            <w:pPr>
              <w:spacing w:after="0"/>
            </w:pPr>
            <w:r/>
            <w:r>
              <w:rPr>
                <w:b w:val="0"/>
              </w:rPr>
              <w:t>The D2.2 rubric explicitly requires those modelling sections</w:t>
            </w:r>
          </w:p>
        </w:tc>
        <w:tc>
          <w:tcPr>
            <w:tcW w:type="dxa" w:w="3264"/>
            <w:vAlign w:val="top"/>
          </w:tcPr>
          <w:p>
            <w:pPr>
              <w:spacing w:after="0"/>
            </w:pPr>
            <w:r/>
            <w:r>
              <w:rPr>
                <w:b w:val="0"/>
              </w:rPr>
              <w:t>Added executable ARMA, ARIMA, manual seasonal ARIMA and SARIMA cells</w:t>
            </w:r>
          </w:p>
        </w:tc>
      </w:tr>
      <w:tr>
        <w:tc>
          <w:tcPr>
            <w:tcW w:type="dxa" w:w="3264"/>
            <w:vAlign w:val="top"/>
          </w:tcPr>
          <w:p>
            <w:pPr>
              <w:spacing w:after="0"/>
            </w:pPr>
            <w:r/>
            <w:r>
              <w:rPr>
                <w:b w:val="0"/>
              </w:rPr>
              <w:t>AutoARIMA cells had no saved outputs</w:t>
            </w:r>
          </w:p>
        </w:tc>
        <w:tc>
          <w:tcPr>
            <w:tcW w:type="dxa" w:w="3264"/>
            <w:vAlign w:val="top"/>
          </w:tcPr>
          <w:p>
            <w:pPr>
              <w:spacing w:after="0"/>
            </w:pPr>
            <w:r/>
            <w:r>
              <w:rPr>
                <w:b w:val="0"/>
              </w:rPr>
              <w:t>The final notebook must include console outputs</w:t>
            </w:r>
          </w:p>
        </w:tc>
        <w:tc>
          <w:tcPr>
            <w:tcW w:type="dxa" w:w="3264"/>
            <w:vAlign w:val="top"/>
          </w:tcPr>
          <w:p>
            <w:pPr>
              <w:spacing w:after="0"/>
            </w:pPr>
            <w:r/>
            <w:r>
              <w:rPr>
                <w:b w:val="0"/>
              </w:rPr>
              <w:t>Kept AutoARIMA code and added a fallback grid search if pmdarima cannot be imported</w:t>
            </w:r>
          </w:p>
        </w:tc>
      </w:tr>
      <w:tr>
        <w:tc>
          <w:tcPr>
            <w:tcW w:type="dxa" w:w="3264"/>
            <w:vAlign w:val="top"/>
          </w:tcPr>
          <w:p>
            <w:pPr>
              <w:spacing w:after="0"/>
            </w:pPr>
            <w:r/>
            <w:r>
              <w:rPr>
                <w:b w:val="0"/>
              </w:rPr>
              <w:t>Results discussion contained claims about summer windows while the test windows are late 2025 to spring 2026</w:t>
            </w:r>
          </w:p>
        </w:tc>
        <w:tc>
          <w:tcPr>
            <w:tcW w:type="dxa" w:w="3264"/>
            <w:vAlign w:val="top"/>
          </w:tcPr>
          <w:p>
            <w:pPr>
              <w:spacing w:after="0"/>
            </w:pPr>
            <w:r/>
            <w:r>
              <w:rPr>
                <w:b w:val="0"/>
              </w:rPr>
              <w:t>The interpretation did not match the actual evaluation period</w:t>
            </w:r>
          </w:p>
        </w:tc>
        <w:tc>
          <w:tcPr>
            <w:tcW w:type="dxa" w:w="3264"/>
            <w:vAlign w:val="top"/>
          </w:tcPr>
          <w:p>
            <w:pPr>
              <w:spacing w:after="0"/>
            </w:pPr>
            <w:r/>
            <w:r>
              <w:rPr>
                <w:b w:val="0"/>
              </w:rPr>
              <w:t>Replaced with dynamic findings printed from the final results table</w:t>
            </w:r>
          </w:p>
        </w:tc>
      </w:tr>
      <w:tr>
        <w:tc>
          <w:tcPr>
            <w:tcW w:type="dxa" w:w="3264"/>
            <w:vAlign w:val="top"/>
          </w:tcPr>
          <w:p>
            <w:pPr>
              <w:spacing w:after="0"/>
            </w:pPr>
            <w:r/>
            <w:r>
              <w:rPr>
                <w:b w:val="0"/>
              </w:rPr>
              <w:t>Dataset link placeholder was missing</w:t>
            </w:r>
          </w:p>
        </w:tc>
        <w:tc>
          <w:tcPr>
            <w:tcW w:type="dxa" w:w="3264"/>
            <w:vAlign w:val="top"/>
          </w:tcPr>
          <w:p>
            <w:pPr>
              <w:spacing w:after="0"/>
            </w:pPr>
            <w:r/>
            <w:r>
              <w:rPr>
                <w:b w:val="0"/>
              </w:rPr>
              <w:t>The rubric asks for the dataset to be publicly accessible via Google Drive</w:t>
            </w:r>
          </w:p>
        </w:tc>
        <w:tc>
          <w:tcPr>
            <w:tcW w:type="dxa" w:w="3264"/>
            <w:vAlign w:val="top"/>
          </w:tcPr>
          <w:p>
            <w:pPr>
              <w:spacing w:after="0"/>
            </w:pPr>
            <w:r/>
            <w:r>
              <w:rPr>
                <w:b w:val="0"/>
              </w:rPr>
              <w:t>Added an explicit placeholder in the notebook and this document</w:t>
            </w:r>
          </w:p>
        </w:tc>
      </w:tr>
    </w:tbl>
    <w:p/>
    <w:p>
      <w:pPr>
        <w:pStyle w:val="Heading2"/>
      </w:pPr>
      <w:r>
        <w:t>11.2 Final checklist before submission</w:t>
      </w:r>
    </w:p>
    <w:p>
      <w:pPr>
        <w:pStyle w:val="ListNumber"/>
      </w:pPr>
      <w:r>
        <w:t>Put the yearly Eurocontrol CSV files in the DATA_DIR folder or update the DATA_DIR path.</w:t>
      </w:r>
    </w:p>
    <w:p>
      <w:pPr>
        <w:pStyle w:val="ListNumber"/>
      </w:pPr>
      <w:r>
        <w:t>Insert the public Google Drive folder link in the notebook and on the cover page of this document.</w:t>
      </w:r>
    </w:p>
    <w:p>
      <w:pPr>
        <w:pStyle w:val="ListNumber"/>
      </w:pPr>
      <w:r>
        <w:t>Run the corrected notebook from top to bottom.</w:t>
      </w:r>
    </w:p>
    <w:p>
      <w:pPr>
        <w:pStyle w:val="ListNumber"/>
      </w:pPr>
      <w:r>
        <w:t>Check that the baseline rows no longer show NaN.</w:t>
      </w:r>
    </w:p>
    <w:p>
      <w:pPr>
        <w:pStyle w:val="ListNumber"/>
      </w:pPr>
      <w:r>
        <w:t>Check that ARMA, ARIMA, SARIMA, AutoARIMA and Transformer all appear in the final results table.</w:t>
      </w:r>
    </w:p>
    <w:p>
      <w:pPr>
        <w:pStyle w:val="ListNumber"/>
      </w:pPr>
      <w:r>
        <w:t>Copy the final leaderboard table and the most relevant figures into this document.</w:t>
      </w:r>
    </w:p>
    <w:p>
      <w:pPr>
        <w:pStyle w:val="ListNumber"/>
      </w:pPr>
      <w:r>
        <w:t>Save the notebook with all outputs visible before uploading it.</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2F549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