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78FB320" w14:textId="720D5ADA" w:rsidR="00872F47" w:rsidRPr="008B44B4" w:rsidRDefault="00872F47" w:rsidP="00872F47">
      <w:pPr>
        <w:pStyle w:val="LO-normal"/>
        <w:spacing w:line="48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Modelling dengue vaccination strate</w:t>
      </w:r>
      <w:r w:rsidR="00C6610E">
        <w:rPr>
          <w:rFonts w:ascii="Times New Roman" w:hAnsi="Times New Roman" w:cs="Times New Roman"/>
          <w:b/>
          <w:bCs/>
          <w:color w:val="000000"/>
          <w:sz w:val="28"/>
          <w:szCs w:val="28"/>
        </w:rPr>
        <w:t>gies in Singapore</w:t>
      </w:r>
    </w:p>
    <w:p w14:paraId="5ED7D107" w14:textId="77777777" w:rsidR="00872F47" w:rsidRPr="00955442" w:rsidRDefault="00872F47" w:rsidP="00872F47">
      <w:pPr>
        <w:pStyle w:val="LO-normal"/>
        <w:spacing w:line="480" w:lineRule="auto"/>
        <w:jc w:val="both"/>
        <w:rPr>
          <w:rFonts w:ascii="Times New Roman" w:hAnsi="Times New Roman" w:cs="Times New Roman"/>
          <w:b/>
          <w:bCs/>
          <w:color w:val="000000"/>
        </w:rPr>
      </w:pPr>
    </w:p>
    <w:p w14:paraId="187AE3DE" w14:textId="4243DF25" w:rsidR="00872F47" w:rsidRPr="0091556B" w:rsidRDefault="00C6610E" w:rsidP="00872F47">
      <w:pPr>
        <w:pStyle w:val="LO-normal"/>
        <w:spacing w:line="480" w:lineRule="auto"/>
        <w:jc w:val="both"/>
        <w:rPr>
          <w:rFonts w:ascii="Times New Roman" w:hAnsi="Times New Roman" w:cs="Times New Roman"/>
          <w:bCs/>
          <w:color w:val="000000"/>
          <w:vertAlign w:val="superscript"/>
        </w:rPr>
      </w:pPr>
      <w:r>
        <w:rPr>
          <w:rFonts w:ascii="Times New Roman" w:hAnsi="Times New Roman" w:cs="Times New Roman"/>
          <w:bCs/>
          <w:color w:val="000000"/>
        </w:rPr>
        <w:t>Author</w:t>
      </w:r>
      <w:r w:rsidRPr="0091556B">
        <w:rPr>
          <w:rFonts w:ascii="Times New Roman" w:hAnsi="Times New Roman" w:cs="Times New Roman"/>
          <w:bCs/>
          <w:color w:val="000000"/>
          <w:vertAlign w:val="superscript"/>
        </w:rPr>
        <w:t>1</w:t>
      </w:r>
      <w:r w:rsidR="00872F47" w:rsidRPr="00955442">
        <w:rPr>
          <w:rFonts w:ascii="Times New Roman" w:hAnsi="Times New Roman" w:cs="Times New Roman"/>
          <w:bCs/>
          <w:color w:val="000000"/>
        </w:rPr>
        <w:t xml:space="preserve">, </w:t>
      </w:r>
      <w:r>
        <w:rPr>
          <w:rFonts w:ascii="Times New Roman" w:hAnsi="Times New Roman" w:cs="Times New Roman"/>
          <w:bCs/>
          <w:color w:val="000000"/>
        </w:rPr>
        <w:t>Author</w:t>
      </w:r>
      <w:r w:rsidR="00FF11DF" w:rsidRPr="0091556B">
        <w:rPr>
          <w:rFonts w:ascii="Times New Roman" w:hAnsi="Times New Roman" w:cs="Times New Roman"/>
          <w:bCs/>
          <w:color w:val="000000"/>
          <w:vertAlign w:val="superscript"/>
        </w:rPr>
        <w:t>1</w:t>
      </w:r>
      <w:r w:rsidR="00372996">
        <w:rPr>
          <w:rFonts w:ascii="Times New Roman" w:hAnsi="Times New Roman" w:cs="Times New Roman"/>
          <w:bCs/>
          <w:color w:val="000000"/>
          <w:vertAlign w:val="superscript"/>
        </w:rPr>
        <w:t>,2</w:t>
      </w:r>
      <w:r w:rsidR="00872F47" w:rsidRPr="0091556B">
        <w:rPr>
          <w:rFonts w:ascii="Times New Roman" w:hAnsi="Times New Roman" w:cs="Times New Roman"/>
          <w:bCs/>
          <w:color w:val="000000"/>
          <w:vertAlign w:val="superscript"/>
          <w:lang w:val="en-US"/>
        </w:rPr>
        <w:t>*</w:t>
      </w:r>
    </w:p>
    <w:p w14:paraId="3D848BD2" w14:textId="77777777" w:rsidR="00872F47" w:rsidRPr="00955442" w:rsidRDefault="00872F47" w:rsidP="00872F47">
      <w:pPr>
        <w:pStyle w:val="LO-normal"/>
        <w:spacing w:line="480" w:lineRule="auto"/>
        <w:jc w:val="both"/>
        <w:rPr>
          <w:rFonts w:ascii="Times New Roman" w:hAnsi="Times New Roman" w:cs="Times New Roman"/>
          <w:b/>
          <w:bCs/>
          <w:color w:val="000000"/>
        </w:rPr>
      </w:pPr>
    </w:p>
    <w:p w14:paraId="20F4DEC4" w14:textId="77777777" w:rsidR="00872F47" w:rsidRPr="00955442" w:rsidRDefault="00872F47" w:rsidP="00872F47">
      <w:pPr>
        <w:pStyle w:val="LO-normal"/>
        <w:spacing w:line="480" w:lineRule="auto"/>
        <w:jc w:val="both"/>
        <w:rPr>
          <w:rFonts w:ascii="Times New Roman" w:hAnsi="Times New Roman" w:cs="Times New Roman"/>
          <w:b/>
          <w:bCs/>
          <w:color w:val="000000"/>
        </w:rPr>
      </w:pPr>
      <w:r w:rsidRPr="008B44B4">
        <w:rPr>
          <w:rFonts w:ascii="Times New Roman" w:hAnsi="Times New Roman" w:cs="Times New Roman"/>
          <w:b/>
          <w:bCs/>
          <w:color w:val="000000"/>
        </w:rPr>
        <w:t>Affiliations</w:t>
      </w:r>
      <w:r>
        <w:rPr>
          <w:rFonts w:ascii="Times New Roman" w:hAnsi="Times New Roman" w:cs="Times New Roman"/>
          <w:b/>
          <w:bCs/>
          <w:color w:val="000000"/>
        </w:rPr>
        <w:t>:</w:t>
      </w:r>
    </w:p>
    <w:p w14:paraId="62FFEF56" w14:textId="77777777" w:rsidR="00372996" w:rsidRDefault="00FF11DF" w:rsidP="00872F47">
      <w:pPr>
        <w:pStyle w:val="LO-normal"/>
        <w:spacing w:line="480" w:lineRule="auto"/>
        <w:jc w:val="both"/>
        <w:rPr>
          <w:rFonts w:ascii="Times New Roman" w:hAnsi="Times New Roman" w:cs="Times New Roman"/>
          <w:bCs/>
          <w:color w:val="000000"/>
        </w:rPr>
      </w:pPr>
      <w:r>
        <w:rPr>
          <w:rFonts w:ascii="Times New Roman" w:hAnsi="Times New Roman" w:cs="Times New Roman"/>
          <w:bCs/>
          <w:color w:val="000000"/>
          <w:vertAlign w:val="superscript"/>
        </w:rPr>
        <w:t>1</w:t>
      </w:r>
      <w:r w:rsidR="00872F47">
        <w:rPr>
          <w:rFonts w:ascii="Times New Roman" w:hAnsi="Times New Roman" w:cs="Times New Roman"/>
          <w:bCs/>
          <w:color w:val="000000"/>
        </w:rPr>
        <w:t xml:space="preserve">Saw Swee Hock School of Public Health, National University of Singapore </w:t>
      </w:r>
    </w:p>
    <w:p w14:paraId="43D83C49" w14:textId="562A6B17" w:rsidR="00872F47" w:rsidRDefault="00372996" w:rsidP="00872F47">
      <w:pPr>
        <w:pStyle w:val="LO-normal"/>
        <w:spacing w:line="480" w:lineRule="auto"/>
        <w:jc w:val="both"/>
        <w:rPr>
          <w:rFonts w:ascii="Times New Roman" w:hAnsi="Times New Roman" w:cs="Times New Roman"/>
          <w:bCs/>
          <w:color w:val="000000"/>
        </w:rPr>
      </w:pPr>
      <w:r w:rsidRPr="00372996">
        <w:rPr>
          <w:rFonts w:ascii="Times New Roman" w:hAnsi="Times New Roman" w:cs="Times New Roman"/>
          <w:bCs/>
          <w:color w:val="000000"/>
          <w:vertAlign w:val="superscript"/>
        </w:rPr>
        <w:t>2</w:t>
      </w:r>
      <w:r w:rsidR="00872F47">
        <w:rPr>
          <w:rFonts w:ascii="Times New Roman" w:hAnsi="Times New Roman" w:cs="Times New Roman"/>
          <w:bCs/>
          <w:color w:val="000000"/>
        </w:rPr>
        <w:t xml:space="preserve">National University Health System, Singapore </w:t>
      </w:r>
    </w:p>
    <w:p w14:paraId="273EDE3A" w14:textId="77777777" w:rsidR="00372996" w:rsidRPr="00372996" w:rsidRDefault="00372996" w:rsidP="00872F47">
      <w:pPr>
        <w:pStyle w:val="LO-normal"/>
        <w:spacing w:line="480" w:lineRule="auto"/>
        <w:jc w:val="both"/>
        <w:rPr>
          <w:rFonts w:ascii="Times New Roman" w:hAnsi="Times New Roman" w:cs="Times New Roman"/>
          <w:bCs/>
          <w:color w:val="000000"/>
        </w:rPr>
      </w:pPr>
    </w:p>
    <w:p w14:paraId="598D87A2" w14:textId="77777777" w:rsidR="00872F47" w:rsidRDefault="00872F47" w:rsidP="00872F47">
      <w:pPr>
        <w:pStyle w:val="LO-normal"/>
        <w:spacing w:line="480" w:lineRule="auto"/>
        <w:jc w:val="both"/>
        <w:rPr>
          <w:rFonts w:ascii="Times New Roman" w:hAnsi="Times New Roman" w:cs="Times New Roman"/>
          <w:bCs/>
          <w:color w:val="000000"/>
        </w:rPr>
      </w:pPr>
      <w:r w:rsidRPr="00955442">
        <w:rPr>
          <w:rFonts w:ascii="Times New Roman" w:hAnsi="Times New Roman" w:cs="Times New Roman"/>
          <w:bCs/>
          <w:color w:val="000000"/>
        </w:rPr>
        <w:t xml:space="preserve">*Corresponding author. Email: </w:t>
      </w:r>
      <w:hyperlink r:id="rId6" w:history="1">
        <w:r w:rsidRPr="008853B4">
          <w:rPr>
            <w:rStyle w:val="Hyperlink"/>
            <w:rFonts w:ascii="Times New Roman" w:hAnsi="Times New Roman" w:cs="Times New Roman"/>
            <w:bCs/>
          </w:rPr>
          <w:t>hannah.clapham@nus.edu.sg</w:t>
        </w:r>
      </w:hyperlink>
    </w:p>
    <w:p w14:paraId="2D44A89B" w14:textId="77777777" w:rsidR="00C6494E" w:rsidRPr="00C6494E" w:rsidRDefault="00C6494E" w:rsidP="00C6494E">
      <w:pPr>
        <w:pStyle w:val="Heading1"/>
        <w:spacing w:line="480" w:lineRule="auto"/>
        <w:jc w:val="both"/>
        <w:rPr>
          <w:rFonts w:ascii="Times New Roman" w:hAnsi="Times New Roman" w:cs="Times New Roman"/>
          <w:b/>
          <w:bCs/>
          <w:color w:val="000000"/>
          <w:sz w:val="24"/>
          <w:szCs w:val="24"/>
        </w:rPr>
      </w:pPr>
      <w:r w:rsidRPr="00C6494E">
        <w:rPr>
          <w:rFonts w:ascii="Times New Roman" w:hAnsi="Times New Roman" w:cs="Times New Roman"/>
          <w:b/>
          <w:bCs/>
          <w:color w:val="000000"/>
          <w:sz w:val="24"/>
          <w:szCs w:val="24"/>
        </w:rPr>
        <w:t>Abstract</w:t>
      </w:r>
    </w:p>
    <w:p w14:paraId="2BC776A1" w14:textId="6139F173" w:rsidR="00A3708D" w:rsidRPr="00A3708D" w:rsidRDefault="00A3708D" w:rsidP="00A3708D">
      <w:pPr>
        <w:pStyle w:val="LO-normal"/>
        <w:spacing w:line="480" w:lineRule="auto"/>
        <w:jc w:val="both"/>
      </w:pPr>
      <w:r w:rsidRPr="00A3708D">
        <w:t xml:space="preserve">Dengue virus, with all four serotypes in cocirculation, has created significant epidemiologic and economic burdens in Singapore. Despite the implementation of several integrated vector control programs, the magnitude and frequency of periodic dengue outbreaks have increased over the last few decades. This highlights the inadequacy of existing control strategies in preventing dengue outbreaks in Singapore. In this context, vaccination has emerged as a promising approach to enhance population immunity and could complement ongoing vector control measures. </w:t>
      </w:r>
    </w:p>
    <w:p w14:paraId="1CA66AFF" w14:textId="7F735FAC" w:rsidR="00A3708D" w:rsidRPr="00A3708D" w:rsidRDefault="00A3708D" w:rsidP="00A3708D">
      <w:pPr>
        <w:pStyle w:val="LO-normal"/>
        <w:spacing w:line="480" w:lineRule="auto"/>
        <w:jc w:val="both"/>
        <w:rPr>
          <w:rFonts w:ascii="Times New Roman" w:hAnsi="Times New Roman" w:cs="Times New Roman"/>
        </w:rPr>
      </w:pPr>
      <w:r w:rsidRPr="00A3708D">
        <w:t xml:space="preserve">In this study, we develop an age-stratified, multi-serotype, compartmental-based dengue transmission model to evaluate the potential impact of different vaccination strategies on dengue transmission dynamics in Singapore. The baseline transmission model is calibrated using available data on age-specific dengue seroprevalence and reported incidence of cases from Singapore in a Bayesian framework. We incorporate the serotype- and baseline serostatus-specific efficacy of the commercially available dengue vaccine </w:t>
      </w:r>
      <w:proofErr w:type="spellStart"/>
      <w:r w:rsidRPr="00A3708D">
        <w:rPr>
          <w:i/>
          <w:iCs/>
        </w:rPr>
        <w:t>Qdenga</w:t>
      </w:r>
      <w:proofErr w:type="spellEnd"/>
      <w:r w:rsidRPr="00A3708D">
        <w:t xml:space="preserve">, based on clinical trial data from dengue-endemic regions of Asia and Latin America. Several scenarios related to vaccination coverage, targeted age </w:t>
      </w:r>
      <w:r w:rsidRPr="00A3708D">
        <w:lastRenderedPageBreak/>
        <w:t xml:space="preserve">groups, and waning vaccine efficacy are designed to assess the impact of vaccination on symptomatic disease and hospitalization using various metrics. Our model predicts that vaccination has an overall positive population-level impact under variable vaccination efficacy against serostatus and serotypes. In assessing the optimal age group for vaccination, we show that targeting older age groups could be more beneficial than targeting younger age groups in terms of averting reported dengue incidence and hospitalization over a </w:t>
      </w:r>
      <w:r w:rsidRPr="00A3708D">
        <w:rPr>
          <w:rFonts w:ascii="Times New Roman" w:hAnsi="Times New Roman" w:cs="Times New Roman"/>
        </w:rPr>
        <w:t xml:space="preserve">50-year post-vaccination period. Moreover, vaccinating older age groups can also avoid individual-level negative impacts. </w:t>
      </w:r>
    </w:p>
    <w:p w14:paraId="37638105" w14:textId="77777777" w:rsidR="00A3708D" w:rsidRPr="00A3708D" w:rsidRDefault="00A3708D" w:rsidP="00A3708D">
      <w:pPr>
        <w:pStyle w:val="LO-normal"/>
        <w:spacing w:line="480" w:lineRule="auto"/>
        <w:jc w:val="both"/>
        <w:rPr>
          <w:rFonts w:ascii="Times New Roman" w:hAnsi="Times New Roman" w:cs="Times New Roman"/>
        </w:rPr>
      </w:pPr>
      <w:r w:rsidRPr="00A3708D">
        <w:rPr>
          <w:rFonts w:ascii="Times New Roman" w:hAnsi="Times New Roman" w:cs="Times New Roman"/>
        </w:rPr>
        <w:t>The results of this study provide valuable insights for policymakers and public health authorities in Singapore on designing evidence-based optimal vaccination strategies to reduce the burden of dengue in the country. The findings underscore the necessity of a comprehensive approach to dengue control, integrating targeted vaccination strategies with vector control measures for efficient disease management.</w:t>
      </w:r>
    </w:p>
    <w:p w14:paraId="35ABA3CE" w14:textId="0BC7367A" w:rsidR="0091556B" w:rsidRDefault="0091556B" w:rsidP="00A3708D">
      <w:pPr>
        <w:pStyle w:val="LO-normal"/>
      </w:pPr>
      <w:r w:rsidRPr="00771DEE">
        <w:rPr>
          <w:b/>
          <w:bCs/>
        </w:rPr>
        <w:t xml:space="preserve">Key words: </w:t>
      </w:r>
      <w:r w:rsidRPr="00771DEE">
        <w:t xml:space="preserve">Dengue, </w:t>
      </w:r>
      <w:r>
        <w:t>Vaccination</w:t>
      </w:r>
      <w:r w:rsidRPr="00771DEE">
        <w:t xml:space="preserve">, </w:t>
      </w:r>
      <w:proofErr w:type="spellStart"/>
      <w:r>
        <w:t>Qdenga</w:t>
      </w:r>
      <w:proofErr w:type="spellEnd"/>
      <w:r w:rsidRPr="00771DEE">
        <w:t xml:space="preserve">, </w:t>
      </w:r>
      <w:r w:rsidR="007834F0">
        <w:t xml:space="preserve">Singapore, </w:t>
      </w:r>
      <w:r w:rsidR="00864C8E">
        <w:t>Transmission modelling</w:t>
      </w:r>
    </w:p>
    <w:p w14:paraId="15354D15" w14:textId="77777777" w:rsidR="00A3708D" w:rsidRDefault="00A3708D" w:rsidP="00A3708D">
      <w:pPr>
        <w:pStyle w:val="LO-normal"/>
        <w:rPr>
          <w:b/>
          <w:bCs/>
        </w:rPr>
      </w:pPr>
    </w:p>
    <w:p w14:paraId="6FE4C021" w14:textId="15F93A11" w:rsidR="0091556B" w:rsidRDefault="00BB4FA5" w:rsidP="00A3708D">
      <w:pPr>
        <w:pStyle w:val="LO-normal"/>
        <w:rPr>
          <w:b/>
          <w:bCs/>
        </w:rPr>
      </w:pPr>
      <w:r w:rsidRPr="00BB4FA5">
        <w:rPr>
          <w:b/>
          <w:bCs/>
        </w:rPr>
        <w:t>Introduction</w:t>
      </w:r>
    </w:p>
    <w:p w14:paraId="7E799E04" w14:textId="77777777" w:rsidR="00F43CD8" w:rsidRPr="00F43CD8" w:rsidRDefault="00F43CD8" w:rsidP="00F43CD8">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Dengue fever, a mosquito-borne viral infection caused by the dengue virus, poses a significant global health burden. An estimated 390 million dengue infections occur annually, with over half the global population at risk, predominantly in tropical and subtropical regions. The burden is particularly acute in Southeast Asia, which consistently reports high incidence rates and severe dengue outbreaks. Within this region, Singapore stands out not only due to its high dengue incidence rates but also for its unique urban landscape, extensive public health infrastructure, and vector control programs.</w:t>
      </w:r>
    </w:p>
    <w:p w14:paraId="6A044367" w14:textId="77777777" w:rsidR="00F43CD8" w:rsidRPr="00F43CD8" w:rsidRDefault="00F43CD8" w:rsidP="00F43CD8">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 xml:space="preserve">Globally, dengue’s burden has increased exponentially over the past few decades due to urbanization, globalization, and climate change, which enhance mosquito breeding conditions. </w:t>
      </w:r>
      <w:proofErr w:type="gramStart"/>
      <w:r w:rsidRPr="00F43CD8">
        <w:rPr>
          <w:rFonts w:ascii="Times New Roman" w:hAnsi="Times New Roman" w:cs="Times New Roman"/>
          <w:lang w:val="en-US"/>
        </w:rPr>
        <w:t>Dengue’s</w:t>
      </w:r>
      <w:proofErr w:type="gramEnd"/>
      <w:r w:rsidRPr="00F43CD8">
        <w:rPr>
          <w:rFonts w:ascii="Times New Roman" w:hAnsi="Times New Roman" w:cs="Times New Roman"/>
          <w:lang w:val="en-US"/>
        </w:rPr>
        <w:t xml:space="preserve"> epidemiology is complex, driven by four virus serotypes (DENV1–4), each contributing </w:t>
      </w:r>
      <w:r w:rsidRPr="00F43CD8">
        <w:rPr>
          <w:rFonts w:ascii="Times New Roman" w:hAnsi="Times New Roman" w:cs="Times New Roman"/>
          <w:lang w:val="en-US"/>
        </w:rPr>
        <w:lastRenderedPageBreak/>
        <w:t>to varying degrees of disease severity and immunity. The Force of Infection (FOI), which measures the rate at which susceptible individuals acquire infection, is crucial for understanding dengue transmission dynamics. In many regions of Southeast Asia, high FOI correlates with high disease burden, and this is also the case in Singapore. Despite successful vector control efforts, Singapore has seen an increasing trend in dengue cases over the years, especially with the resurgence of serotypes DENV1 and DENV2.</w:t>
      </w:r>
    </w:p>
    <w:p w14:paraId="07956F0E" w14:textId="77777777" w:rsidR="00F43CD8" w:rsidRPr="00F43CD8" w:rsidRDefault="00F43CD8" w:rsidP="00E22792">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 xml:space="preserve">Singapore’s urbanized environment, dense population, and sophisticated health infrastructure create a unique landscape for dengue transmission. Despite aggressive mosquito control measures and public health interventions, the country continues to face periodic dengue outbreaks. The hot and humid climate, coupled with a mobile and interconnected population, fosters conditions conducive to the proliferation of the primary dengue vector, </w:t>
      </w:r>
      <w:r w:rsidRPr="00F43CD8">
        <w:rPr>
          <w:rFonts w:ascii="Times New Roman" w:hAnsi="Times New Roman" w:cs="Times New Roman"/>
          <w:i/>
          <w:iCs/>
          <w:lang w:val="en-US"/>
        </w:rPr>
        <w:t>Aedes aegypti</w:t>
      </w:r>
      <w:r w:rsidRPr="00F43CD8">
        <w:rPr>
          <w:rFonts w:ascii="Times New Roman" w:hAnsi="Times New Roman" w:cs="Times New Roman"/>
          <w:lang w:val="en-US"/>
        </w:rPr>
        <w:t>. Singapore's health surveillance system is robust, enabling early detection and response, yet the complexities of multi-serotype transmission and immunity dynamics make control challenging.</w:t>
      </w:r>
    </w:p>
    <w:p w14:paraId="3CFFE73B" w14:textId="77777777" w:rsidR="00F43CD8" w:rsidRPr="00F43CD8" w:rsidRDefault="00F43CD8" w:rsidP="00E22792">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The development of dengue vaccines has been an active area of research, with the first licensed dengue vaccine, CYD-TDV (</w:t>
      </w:r>
      <w:proofErr w:type="spellStart"/>
      <w:r w:rsidRPr="00F43CD8">
        <w:rPr>
          <w:rFonts w:ascii="Times New Roman" w:hAnsi="Times New Roman" w:cs="Times New Roman"/>
          <w:lang w:val="en-US"/>
        </w:rPr>
        <w:t>Dengvaxia</w:t>
      </w:r>
      <w:proofErr w:type="spellEnd"/>
      <w:r w:rsidRPr="00F43CD8">
        <w:rPr>
          <w:rFonts w:ascii="Times New Roman" w:hAnsi="Times New Roman" w:cs="Times New Roman"/>
          <w:lang w:val="en-US"/>
        </w:rPr>
        <w:t>), marking a significant milestone. However, CYD-TDV’s safety and efficacy vary across serotypes and depend on prior dengue exposure, limiting its use to individuals with evidence of previous infection. Other vaccines, such as TAK-003 (developed by Takeda), have shown promising results in clinical trials, offering broader protection against all four serotypes, regardless of prior exposure. In addition, several other vaccine candidates are in various stages of development, each contributing to the evolving landscape of dengue prevention strategies.</w:t>
      </w:r>
    </w:p>
    <w:p w14:paraId="556E1E55" w14:textId="77777777" w:rsidR="00F43CD8" w:rsidRPr="00F43CD8" w:rsidRDefault="00F43CD8" w:rsidP="00E22792">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 xml:space="preserve">Given the unique epidemiology of dengue in Singapore and the continued threat of outbreaks despite effective vector control programs, vaccination represents a critical component of the </w:t>
      </w:r>
      <w:r w:rsidRPr="00F43CD8">
        <w:rPr>
          <w:rFonts w:ascii="Times New Roman" w:hAnsi="Times New Roman" w:cs="Times New Roman"/>
          <w:lang w:val="en-US"/>
        </w:rPr>
        <w:lastRenderedPageBreak/>
        <w:t>country’s long-term strategy to reduce dengue incidence. The introduction of a suitable vaccine could help mitigate the burden of the disease, particularly in high-risk populations. In Singapore, where the population has heterogeneous exposure to dengue, identifying an appropriate vaccination strategy requires careful consideration of factors such as age, prior exposure, and the local FOI. Vaccination, when combined with existing vector control efforts, could significantly reduce the number of severe dengue cases and hospitalizations, alleviating both public health and economic burdens.</w:t>
      </w:r>
    </w:p>
    <w:p w14:paraId="053323E7" w14:textId="77777777" w:rsidR="00F43CD8" w:rsidRPr="00F43CD8" w:rsidRDefault="00F43CD8" w:rsidP="00E22792">
      <w:pPr>
        <w:pStyle w:val="LO-normal"/>
        <w:spacing w:line="480" w:lineRule="auto"/>
        <w:jc w:val="both"/>
        <w:rPr>
          <w:rFonts w:ascii="Times New Roman" w:hAnsi="Times New Roman" w:cs="Times New Roman"/>
          <w:lang w:val="en-US"/>
        </w:rPr>
      </w:pPr>
      <w:r w:rsidRPr="00F43CD8">
        <w:rPr>
          <w:rFonts w:ascii="Times New Roman" w:hAnsi="Times New Roman" w:cs="Times New Roman"/>
          <w:lang w:val="en-US"/>
        </w:rPr>
        <w:t>This study presents the first modeling effort to evaluate the potential impact of dengue vaccination in Singapore. By incorporating local epidemiological data, serotype-specific FOI estimates, and vaccine efficacy data, this model provides insights into the effectiveness of vaccination strategies tailored to Singapore's unique context. It aims to offer evidence-based guidance for policymakers on the potential benefits and limitations of introducing dengue vaccination into the national immunization program.</w:t>
      </w:r>
    </w:p>
    <w:p w14:paraId="0882DE6F" w14:textId="77777777" w:rsidR="0066248A" w:rsidRDefault="0066248A" w:rsidP="00A3708D">
      <w:pPr>
        <w:pStyle w:val="LO-normal"/>
        <w:rPr>
          <w:b/>
          <w:bCs/>
        </w:rPr>
      </w:pPr>
    </w:p>
    <w:p w14:paraId="41CBB8AA" w14:textId="77777777" w:rsidR="00A3708D" w:rsidRPr="00BB4FA5" w:rsidRDefault="00A3708D" w:rsidP="00A3708D">
      <w:pPr>
        <w:pStyle w:val="LO-normal"/>
        <w:rPr>
          <w:b/>
          <w:bCs/>
        </w:rPr>
      </w:pPr>
    </w:p>
    <w:p w14:paraId="745CAC98" w14:textId="12F7B95A" w:rsidR="00145940" w:rsidRDefault="00BB4FA5" w:rsidP="00A3708D">
      <w:pPr>
        <w:pStyle w:val="LO-normal"/>
        <w:rPr>
          <w:b/>
          <w:bCs/>
        </w:rPr>
      </w:pPr>
      <w:r w:rsidRPr="00BB4FA5">
        <w:rPr>
          <w:b/>
          <w:bCs/>
        </w:rPr>
        <w:t>Methods</w:t>
      </w:r>
    </w:p>
    <w:p w14:paraId="7D7259D6" w14:textId="7EA720DE" w:rsidR="00E36D7F" w:rsidRPr="0066248A" w:rsidRDefault="00E36D7F" w:rsidP="0066248A">
      <w:pPr>
        <w:spacing w:before="240" w:after="0" w:line="480" w:lineRule="auto"/>
        <w:jc w:val="both"/>
        <w:rPr>
          <w:rFonts w:ascii="Times New Roman" w:eastAsia="Arial" w:hAnsi="Times New Roman" w:cs="Times New Roman"/>
          <w:color w:val="000000"/>
          <w:kern w:val="0"/>
          <w14:ligatures w14:val="none"/>
        </w:rPr>
      </w:pPr>
      <w:r w:rsidRPr="0066248A">
        <w:rPr>
          <w:rFonts w:ascii="Times New Roman" w:eastAsia="Arial" w:hAnsi="Times New Roman" w:cs="Times New Roman"/>
          <w:color w:val="000000"/>
          <w:kern w:val="0"/>
          <w14:ligatures w14:val="none"/>
        </w:rPr>
        <w:t xml:space="preserve">We use a dengue transmission model which explicitly incorporates age of human population, </w:t>
      </w:r>
      <w:r w:rsidR="00391276">
        <w:rPr>
          <w:rFonts w:ascii="Times New Roman" w:eastAsia="Arial" w:hAnsi="Times New Roman" w:cs="Times New Roman"/>
          <w:color w:val="000000"/>
          <w:kern w:val="0"/>
          <w14:ligatures w14:val="none"/>
        </w:rPr>
        <w:t xml:space="preserve">four different </w:t>
      </w:r>
      <w:r w:rsidRPr="0066248A">
        <w:rPr>
          <w:rFonts w:ascii="Times New Roman" w:eastAsia="Arial" w:hAnsi="Times New Roman" w:cs="Times New Roman"/>
          <w:color w:val="000000"/>
          <w:kern w:val="0"/>
          <w14:ligatures w14:val="none"/>
        </w:rPr>
        <w:t>serotypes of dengue virus</w:t>
      </w:r>
      <w:r w:rsidR="00C21CC1">
        <w:rPr>
          <w:rFonts w:ascii="Times New Roman" w:eastAsia="Arial" w:hAnsi="Times New Roman" w:cs="Times New Roman"/>
          <w:color w:val="000000"/>
          <w:kern w:val="0"/>
          <w14:ligatures w14:val="none"/>
        </w:rPr>
        <w:t xml:space="preserve"> (DENV-I, DENV-II, DENV-III, DENV-IV)</w:t>
      </w:r>
      <w:r w:rsidRPr="0066248A">
        <w:rPr>
          <w:rFonts w:ascii="Times New Roman" w:eastAsia="Arial" w:hAnsi="Times New Roman" w:cs="Times New Roman"/>
          <w:color w:val="000000"/>
          <w:kern w:val="0"/>
          <w14:ligatures w14:val="none"/>
        </w:rPr>
        <w:t xml:space="preserve">, and number of infections to study the long-term disease dynamics in Singapore. The model divides the whole population into several </w:t>
      </w:r>
      <w:r w:rsidRPr="0066248A">
        <w:rPr>
          <w:rFonts w:ascii="Times New Roman" w:eastAsia="Arial" w:hAnsi="Times New Roman" w:cs="Times New Roman"/>
          <w:i/>
          <w:iCs/>
          <w:color w:val="000000"/>
          <w:kern w:val="0"/>
          <w14:ligatures w14:val="none"/>
        </w:rPr>
        <w:t xml:space="preserve">compartments, </w:t>
      </w:r>
      <w:r w:rsidRPr="0066248A">
        <w:rPr>
          <w:rFonts w:ascii="Times New Roman" w:eastAsia="Arial" w:hAnsi="Times New Roman" w:cs="Times New Roman"/>
          <w:color w:val="000000"/>
          <w:kern w:val="0"/>
          <w14:ligatures w14:val="none"/>
        </w:rPr>
        <w:t xml:space="preserve">based on different factors like health statuses, infecting serotypes, number of infections, vaccination status, etc. and keeps track of the number of individuals in each of the compartments over time (see </w:t>
      </w:r>
      <w:r w:rsidR="008019DB">
        <w:rPr>
          <w:rFonts w:ascii="Times New Roman" w:eastAsia="Arial" w:hAnsi="Times New Roman" w:cs="Times New Roman"/>
          <w:color w:val="000000"/>
          <w:kern w:val="0"/>
          <w14:ligatures w14:val="none"/>
        </w:rPr>
        <w:t xml:space="preserve">supplementary </w:t>
      </w:r>
      <w:r w:rsidRPr="0066248A">
        <w:rPr>
          <w:rFonts w:ascii="Times New Roman" w:eastAsia="Arial" w:hAnsi="Times New Roman" w:cs="Times New Roman"/>
          <w:i/>
          <w:iCs/>
          <w:color w:val="000000"/>
          <w:kern w:val="0"/>
          <w14:ligatures w14:val="none"/>
        </w:rPr>
        <w:t>Figure 1</w:t>
      </w:r>
      <w:r w:rsidRPr="0066248A">
        <w:rPr>
          <w:rFonts w:ascii="Times New Roman" w:eastAsia="Arial" w:hAnsi="Times New Roman" w:cs="Times New Roman"/>
          <w:color w:val="000000"/>
          <w:kern w:val="0"/>
          <w14:ligatures w14:val="none"/>
        </w:rPr>
        <w:t xml:space="preserve"> for simplified representation of compartments). Since dengue is a vector-borne disease, we also explicitly incorporate the adult mosquito population into the model (not shown in Figure 1). </w:t>
      </w:r>
    </w:p>
    <w:p w14:paraId="4A14A609" w14:textId="77777777" w:rsidR="00E4283E" w:rsidRPr="0066248A" w:rsidRDefault="00E4283E" w:rsidP="0066248A">
      <w:pPr>
        <w:spacing w:before="240" w:line="480" w:lineRule="auto"/>
        <w:jc w:val="both"/>
        <w:rPr>
          <w:rFonts w:ascii="Times New Roman" w:eastAsia="Arial" w:hAnsi="Times New Roman" w:cs="Times New Roman"/>
          <w:color w:val="000000"/>
          <w:kern w:val="0"/>
          <w14:ligatures w14:val="none"/>
        </w:rPr>
      </w:pPr>
      <w:r w:rsidRPr="0066248A">
        <w:rPr>
          <w:rFonts w:ascii="Times New Roman" w:eastAsia="Arial" w:hAnsi="Times New Roman" w:cs="Times New Roman"/>
        </w:rPr>
        <w:lastRenderedPageBreak/>
        <w:t xml:space="preserve">Studies </w:t>
      </w:r>
      <w:r w:rsidRPr="0066248A">
        <w:rPr>
          <w:rFonts w:ascii="Times New Roman" w:hAnsi="Times New Roman" w:cs="Times New Roman"/>
        </w:rPr>
        <w:fldChar w:fldCharType="begin"/>
      </w:r>
      <w:r w:rsidRPr="0066248A">
        <w:rPr>
          <w:rFonts w:ascii="Times New Roman" w:hAnsi="Times New Roman" w:cs="Times New Roman"/>
        </w:rPr>
        <w:instrText xml:space="preserve"> ADDIN ZOTERO_ITEM CSL_CITATION {"citationID":"aeltPkzg","properties":{"formattedCitation":"(Cummings {\\i{}et al.}, 2009; Wagner {\\i{}et al.}, 2020; Huang {\\i{}et al.}, 2022; Col\\uc0\\u243{}n-Gonz\\uc0\\u225{}lez {\\i{}et al.}, 2023)","plainCitation":"(Cummings et al., 2009; Wagner et al., 2020; Huang et al., 2022; Colón-González et al., 2023)","noteIndex":0},"citationItems":[{"id":137,"uris":["http://zotero.org/groups/5139113/items/TTZ2WPAG"],"itemData":{"id":137,"type":"article-journal","container-title":"PLoS Medicine","DOI":"10.1371/journal.pmed.1000139","ISSN":"1549-1676","issue":"9","journalAbbreviation":"PLoS Med","language":"en","page":"e1000139","source":"DOI.org (Crossref)","title":"The Impact of the Demographic Transition on Dengue in Thailand: Insights from a Statistical Analysis and Mathematical Modeling","title-short":"The Impact of the Demographic Transition on Dengue in Thailand","volume":"6","author":[{"family":"Cummings","given":"Derek A. T."},{"family":"Iamsirithaworn","given":"Sopon"},{"family":"Lessler","given":"Justin T."},{"family":"McDermott","given":"Aidan"},{"family":"Prasanthong","given":"Rungnapa"},{"family":"Nisalak","given":"Ananda"},{"family":"Jarman","given":"Richard G."},{"family":"Burke","given":"Donald S."},{"family":"Gibbons","given":"Robert V."}],"editor":[{"family":"Farrar","given":"Jeremy"}],"issued":{"date-parts":[["2009",9,1]]}}},{"id":141,"uris":["http://zotero.org/groups/5139113/items/6JULVFDE"],"itemData":{"id":141,"type":"article-journal","abstract":"The largest ever Sri Lankan dengue outbreak of 2017 provides an opportunity for investigating the relative contributions of climatological, epidemiological and sociological drivers on the epidemic patterns of this clinically important vector-borne disease. To do so, we develop a climatologically driven disease transmission framework for dengue virus using spatially resolved temperature and precipitation data as well as the time-series susceptible-infected-recovered (SIR) model. From this framework, we first demonstrate that the distinct climatological patterns encountered across the island play an important role in establishing the typical yearly temporal dynamics of dengue, but alone are unable to account for the epidemic case numbers observed in Sri Lanka during 2017. Using a simplified two-strain SIR model, we demonstrate that the re-introduction of a dengue virus serotype that had been largely absent from the island in previous years may have played an important role in driving the epidemic, and provide a discussion of the possible roles for extreme weather events and human mobility patterns on the outbreak dynamics. Lastly, we provide estimates for the future burden of dengue across Sri Lanka using the Coupled Model Intercomparison Phase 5 climate projections. Critically, we demonstrate that climatological and serological factors can act synergistically to yield greater projected case numbers than would be expected from the presence of a single driver alone. Altogether, this work provides a holistic framework for teasing apart and analysing the various complex drivers of vector-borne disease outbreak dynamics.","container-title":"Journal of The Royal Society Interface","DOI":"10.1098/rsif.2020.0075","ISSN":"1742-5689, 1742-5662","issue":"167","journalAbbreviation":"J. R. Soc. Interface.","language":"en","page":"20200075","source":"DOI.org (Crossref)","title":"Climatological, virological and sociological drivers of current and projected dengue fever outbreak dynamics in Sri Lanka","volume":"17","author":[{"family":"Wagner","given":"Caroline E."},{"family":"Hooshyar","given":"Milad"},{"family":"Baker","given":"Rachel E."},{"family":"Yang","given":"Wenchang"},{"family":"Arinaminpathy","given":"Nimalan"},{"family":"Vecchi","given":"Gabriel"},{"family":"Metcalf","given":"C. Jessica E."},{"family":"Porporato","given":"Amilcare"},{"family":"Grenfell","given":"Bryan T."}],"issued":{"date-parts":[["2020",6]]}}},{"id":143,"uris":["http://zotero.org/groups/5139113/items/KHMU39AR"],"itemData":{"id":143,"type":"article-journal","abstract":"Significance\n            The age of reported dengue hemorrhagic fever (DHF) cases, the severe form of dengue infections, has been increasing in Thailand for four decades. Factors underlying this shift remain poorly understood, challenging public health planning. Here, we found aging of the population and its effect on the hazard of transmission to be the dominant contributors, with temporal changes in surveillance practices playing a lesser role. With ongoing population aging, we expect a continuing shift of DHF toward older individuals, heightening the chance of clinical complications with comorbidities. With most other highly endemic countries facing similar shifts in age structure, the pattern is expected to appear elsewhere. Awareness is needed to improve diagnosis and treatment.\n          , \n            The mean age of dengue hemorrhagic fever (DHF) cases increased considerably in Thailand from 8.1 to 24.3 y between 1981 and 2017 (mean annual increase of 0.45 y). Alternative proposed explanations for this trend, such as changes in surveillance practices, reduced mosquito–human contact, and shifts in population demographics, have different implications for global dengue epidemiology. To evaluate the contribution of each of these hypothesized mechanisms to the observed data, we developed 20 nested epidemiological models of dengue virus infection, allowing for variation over time in population demographics, infection hazards, and reporting rates. We also quantified the effect of removing or retaining each source of variation in simulations of the age trajectory. Shifts in the age structure of susceptibility explained 58% of the observed change in age. Adding heterogeneous reporting by age and reductions in per-serotype infection hazard to models with shifts in susceptibility explained an additional 42%. Reductions in infection hazards were mostly driven by changes in the number of infectious individuals at any time (another consequence of shifting age demographics) rather than changes in the transmissibility of individual infections. We conclude that the demographic transition drives the overwhelming majority of the observed change as it changes both the age structure of susceptibility and the number of infectious individuals. With the projected Thai population age structure, our results suggest a continuing increase in age of DHF cases, shifting the burden toward individuals with more comorbidity. These insights into dengue epidemiology may be relevant to many regions of the globe currently undergoing comparable changes in population demographics.","container-title":"Proceedings of the National Academy of Sciences","DOI":"10.1073/pnas.2115790119","ISSN":"0027-8424, 1091-6490","issue":"20","journalAbbreviation":"Proc. Natl. Acad. Sci. U.S.A.","language":"en","page":"e2115790119","source":"DOI.org (Crossref)","title":"Assessing the role of multiple mechanisms increasing the age of dengue cases in Thailand","volume":"119","author":[{"family":"Huang","given":"Angkana T."},{"family":"Takahashi","given":"Saki"},{"family":"Salje","given":"Henrik"},{"family":"Wang","given":"Lin"},{"family":"Garcia-Carreras","given":"Bernardo"},{"family":"Anderson","given":"Kathryn"},{"family":"Endy","given":"Timothy"},{"family":"Thomas","given":"Stephen"},{"family":"Rothman","given":"Alan L."},{"family":"Klungthong","given":"Chonticha"},{"family":"Jones","given":"Anthony R."},{"family":"Fernandez","given":"Stefan"},{"family":"Iamsirithaworn","given":"Sopon"},{"family":"Doung-Ngern","given":"Pawinee"},{"family":"Rodriguez-Barraquer","given":"Isabel"},{"family":"Cummings","given":"Derek A. T."}],"issued":{"date-parts":[["2022",5,17]]}}},{"id":110,"uris":["http://zotero.org/groups/5139113/items/25GQSRCM"],"itemData":{"id":110,"type":"article-journal","abstract":"The recent global expansion of dengue has been facilitated by changes in urbanisation, mobility, and climate. In this work, we project future changes in dengue incidence and case burden to 2099 under the latest climate change scenarios. We fit a statistical model to province-level monthly dengue case counts from eight countries across Southeast Asia, one of the worst affected regions. We project that dengue incidence will peak this century before declining to lower levels with large variations between and within countries. Our findings reveal that northern Thailand and Cambodia will show the biggest decreases and equatorial areas will show the biggest increases. The impact of climate change will be counterbalanced by income growth, with population growth having the biggest influence on increasing burden. These findings can be used for formulating mitigation and adaptation interventions to reduce the immediate growing impact of dengue virus in the region.","container-title":"Nature Communications","DOI":"10.1038/s41467-023-41017-y","ISSN":"2041-1723","issue":"1","journalAbbreviation":"Nat Commun","language":"en","license":"2023 Springer Nature Limited","note":"number: 1\npublisher: Nature Publishing Group","page":"5439","source":"www-nature-com.libproxy1.nus.edu.sg","title":"Projecting the future incidence and burden of dengue in Southeast Asia","volume":"14","author":[{"family":"Colón-González","given":"Felipe J."},{"family":"Gibb","given":"Rory"},{"family":"Khan","given":"Kamran"},{"family":"Watts","given":"Alexander"},{"family":"Lowe","given":"Rachel"},{"family":"Brady","given":"Oliver J."}],"issued":{"date-parts":[["2023",9,6]]}}}],"schema":"https://github.com/citation-style-language/schema/raw/master/csl-citation.json"} </w:instrText>
      </w:r>
      <w:r w:rsidRPr="0066248A">
        <w:rPr>
          <w:rFonts w:ascii="Times New Roman" w:hAnsi="Times New Roman" w:cs="Times New Roman"/>
        </w:rPr>
        <w:fldChar w:fldCharType="separate"/>
      </w:r>
      <w:r w:rsidRPr="0066248A">
        <w:rPr>
          <w:rFonts w:ascii="Times New Roman" w:eastAsia="Arial" w:hAnsi="Times New Roman" w:cs="Times New Roman"/>
          <w:kern w:val="0"/>
        </w:rPr>
        <w:t xml:space="preserve">(Cummings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xml:space="preserve">, 2009; Wagner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xml:space="preserve">, 2020; Huang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xml:space="preserve">, 2022; Colón-González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2023)</w:t>
      </w:r>
      <w:r w:rsidRPr="0066248A">
        <w:rPr>
          <w:rFonts w:ascii="Times New Roman" w:hAnsi="Times New Roman" w:cs="Times New Roman"/>
        </w:rPr>
        <w:fldChar w:fldCharType="end"/>
      </w:r>
      <w:r w:rsidRPr="0066248A">
        <w:rPr>
          <w:rFonts w:ascii="Times New Roman" w:eastAsia="Arial" w:hAnsi="Times New Roman" w:cs="Times New Roman"/>
        </w:rPr>
        <w:t xml:space="preserve"> showed that human demography plays an important role in dengue disease dynamics, and since we are interested in studying the long-term impact of </w:t>
      </w:r>
      <w:r w:rsidRPr="0066248A">
        <w:rPr>
          <w:rFonts w:ascii="Times New Roman" w:eastAsia="Arial" w:hAnsi="Times New Roman" w:cs="Times New Roman"/>
          <w:color w:val="000000"/>
          <w:kern w:val="0"/>
          <w14:ligatures w14:val="none"/>
        </w:rPr>
        <w:t xml:space="preserve">vaccination, we consider human demography into the model. We consider the population from 0 years to 90+ years with an age bracket of 1 year. We use the historical demography related information like birth rate, age-specific mortality rate from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{"citationID":"xn4HA0v3","properties":{"formattedCitation":"({\\i{}Singapore Population}, 2024)","plainCitation":"(Singapore Population, 2024)","noteIndex":0},"citationItems":[{"id":133,"uris":["http://zotero.org/groups/5139113/items/U26XI4DF"],"itemData":{"id":133,"type":"webpage","language":"en","title":"Singapore Population","URL":"http://www.singstat.gov.sg/modules/infographics/population","accessed":{"date-parts":[["2024",3,4]]},"issued":{"date-parts":[["2024"]]}}}],"schema":"https://github.com/citation-style-language/schema/raw/master/csl-citation.json"}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w:t>
      </w:r>
      <w:r w:rsidRPr="0066248A">
        <w:rPr>
          <w:rFonts w:ascii="Times New Roman" w:eastAsia="Arial" w:hAnsi="Times New Roman" w:cs="Times New Roman"/>
          <w:i/>
          <w:iCs/>
          <w:kern w:val="0"/>
        </w:rPr>
        <w:t>Singapore Population</w:t>
      </w:r>
      <w:r w:rsidRPr="0066248A">
        <w:rPr>
          <w:rFonts w:ascii="Times New Roman" w:eastAsia="Arial" w:hAnsi="Times New Roman" w:cs="Times New Roman"/>
          <w:kern w:val="0"/>
        </w:rPr>
        <w:t>, 2024)</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Additionally, for future projection , we will use the population trend from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{"citationID":"wyQMLYt0","properties":{"formattedCitation":"({\\i{}World Population Prospects}, no date)","plainCitation":"(World Population Prospects, no date)","noteIndex":0},"citationItems":[{"id":135,"uris":["http://zotero.org/groups/5139113/items/GAHHGJMM"],"itemData":{"id":135,"type":"webpage","genre":"2024","title":"World Population Prospects","URL":"https://population.un.org/wpp/Graphs/DemographicProfiles/Line/702","accessed":{"date-parts":[["2024",3,4]]}}}],"schema":"https://github.com/citation-style-language/schema/raw/master/csl-citation.json"}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w:t>
      </w:r>
      <w:r w:rsidRPr="0066248A">
        <w:rPr>
          <w:rFonts w:ascii="Times New Roman" w:eastAsia="Arial" w:hAnsi="Times New Roman" w:cs="Times New Roman"/>
          <w:i/>
          <w:iCs/>
          <w:kern w:val="0"/>
        </w:rPr>
        <w:t>World Population Prospects</w:t>
      </w:r>
      <w:r w:rsidRPr="0066248A">
        <w:rPr>
          <w:rFonts w:ascii="Times New Roman" w:eastAsia="Arial" w:hAnsi="Times New Roman" w:cs="Times New Roman"/>
          <w:kern w:val="0"/>
        </w:rPr>
        <w:t>, no date)</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w:t>
      </w:r>
    </w:p>
    <w:p w14:paraId="7864A12B" w14:textId="77777777" w:rsidR="00E4283E" w:rsidRPr="0066248A" w:rsidRDefault="00E4283E" w:rsidP="0066248A">
      <w:pPr>
        <w:spacing w:before="240" w:line="480" w:lineRule="auto"/>
        <w:jc w:val="both"/>
        <w:rPr>
          <w:rFonts w:ascii="Times New Roman" w:eastAsia="Arial" w:hAnsi="Times New Roman" w:cs="Times New Roman"/>
          <w:color w:val="000000"/>
          <w:kern w:val="0"/>
          <w14:ligatures w14:val="none"/>
        </w:rPr>
      </w:pPr>
      <w:r w:rsidRPr="0066248A">
        <w:rPr>
          <w:rFonts w:ascii="Times New Roman" w:eastAsia="Arial" w:hAnsi="Times New Roman" w:cs="Times New Roman"/>
          <w:color w:val="000000"/>
          <w:kern w:val="0"/>
          <w14:ligatures w14:val="none"/>
        </w:rPr>
        <w:t xml:space="preserve">Based on the rarity of third and fourth infections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{"citationID":"MRxnAsyi","properties":{"formattedCitation":"(Endy {\\i{}et al.}, 2007)","plainCitation":"(Endy et al., 2007)","noteIndex":0},"citationItems":[{"id":123,"uris":["http://zotero.org/groups/5139113/items/SWEPHHLF"],"itemData":{"id":123,"type":"article-journal","container-title":"The American Journal of Tropical Medicine and Hygiene","DOI":"10.4269/ajtmh.2007.77.910","ISSN":"0002-9637, 1476-1645","issue":"5","language":"en","page":"910-913","source":"DOI.org (Crossref)","title":"Analysis of Repeat Hospital Admissions for Dengue to Estimate the Frequency of Third or Fourth Dengue Infections Resulting in Admissions and Dengue Hemorrhagic Fever, and Serotype Sequences","volume":"77","author":[{"family":"Endy","given":"Timothy P."},{"family":"Srikiatkhachorn","given":"Anon"},{"family":"Jarman","given":"Richard G."},{"family":"Mammen","given":"Mammen P."},{"family":"Vaughn","given":"David W."},{"family":"Kalanarooj","given":"Siripen"},{"family":"Nisalak","given":"Ananda"},{"family":"Gibbons","given":"Robert V."}],"issued":{"date-parts":[["2007",11,1]]}}}],"schema":"https://github.com/citation-style-language/schema/raw/master/csl-citation.json"}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(Endy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2007)</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we make the assumption that individuals acquired complete protection from dengue infection after secondary infection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{"citationID":"r5HuS5Oj","properties":{"formattedCitation":"(Cummings {\\i{}et al.}, 2005; Recker {\\i{}et al.}, 2009)","plainCitation":"(Cummings et al., 2005; Recker et al., 2009)","noteIndex":0},"citationItems":[{"id":129,"uris":["http://zotero.org/groups/5139113/items/F384LX5T"],"itemData":{"id":129,"type":"article-journal","abstract":"Antibody-dependent enhancement (ADE), a phenomenon in which viral replication is increased rather than decreased by immune sera, has been observed\n              in vitro\n              for a large number of viruses of public health importance, including flaviviruses, coronaviruses, and retroviruses. The most striking\n              in vivo\n              example of ADE in humans is dengue hemorrhagic fever, a disease in which ADE is thought to increase the severity of clinical manifestations of dengue virus infection by increasing virus replication. We examine the epidemiological impact of ADE on the prevalence and persistence of viral serotypes. Using a dynamical system model of\n              n\n              cocirculating dengue serotypes, we find that ADE may provide a competitive advantage to those serotypes that undergo enhancement compared with those that do not, and that this advantage increases with increasing numbers of cocirculating serotypes. Paradoxically, there are limits to the selective advantage provided by increasing levels of ADE, because greater levels of enhancement induce large amplitude oscillations in incidence of all dengue virus infections, threatening the persistence of both the enhanced and nonenhanced serotypes. Although the models presented here are specifically designed for dengue, our results are applicable to any epidemiological system in which partial immunity increases pathogen replication rates. Our results suggest that enhancement is most advantageous in settings where multiple serotypes circulate and where a large host population is available to support pathogen persistence during the deep troughs of ADE-induced large amplitude oscillations of virus replication.","container-title":"Proceedings of the National Academy of Sciences","DOI":"10.1073/pnas.0507320102","ISSN":"0027-8424, 1091-6490","issue":"42","journalAbbreviation":"Proc. Natl. Acad. Sci. U.S.A.","language":"en","page":"15259-15264","source":"DOI.org (Crossref)","title":"Dynamic effects of antibody-dependent enhancement on the fitness of viruses","volume":"102","author":[{"family":"Cummings","given":"Derek A. T."},{"family":"Schwartz","given":"Ira B."},{"family":"Billings","given":"Lora"},{"family":"Shaw","given":"Leah B."},{"family":"Burke","given":"Donald S."}],"issued":{"date-parts":[["2005",10,18]]}}},{"id":124,"uris":["http://zotero.org/groups/5139113/items/SEMN84VV"],"itemData":{"id":124,"type":"article-journal","abstract":"Long-term epidemiological data reveal multi-annual fluctuations in the incidence of dengue fever and dengue haemorrhagic fever, as well as complex cyclical behaviour in the dynamics of the four serotypes of the dengue virus. It has previously been proposed that these patterns are due to the phenomenon of the so-called antibody-dependent enhancement (ADE) among dengue serotypes, whereby viral replication is increased during secondary infection with a heterologous serotype; however, recent studies have implied that this positive reinforcement cannot account for the temporal patterns of dengue and that some form of cross-immunity or external forcing is necessary. Here, we show that ADE alone can produce the observed periodicities and desynchronized oscillations of individual serotypes if its effects are decomposed into its two possible manifestations: enhancement of susceptibility to secondary infections and increased transmissibility from individuals suffering from secondary infections. This decomposition not only lowers the level of enhancement necessary for realistic disease patterns but also reduces the risk of stochastic extinction. Furthermore, our analyses reveal a time-lagged correlation between serotype dynamics and disease incidence rates, which could have important implications for understanding the irregular pattern of dengue epidemics.","container-title":"Proceedings of the Royal Society B: Biological Sciences","DOI":"10.1098/rspb.2009.0331","ISSN":"0962-8452, 1471-2954","issue":"1667","journalAbbreviation":"Proc. R. Soc. B.","language":"en","page":"2541-2548","source":"DOI.org (Crossref)","title":"Immunological serotype interactions and their effect on the epidemiological pattern of dengue","volume":"276","author":[{"family":"Recker","given":"Mario"},{"family":"Blyuss","given":"Konstantin B."},{"family":"Simmons","given":"Cameron P."},{"family":"Hien","given":"Tran Tinh"},{"family":"Wills","given":"Bridget"},{"family":"Farrar","given":"Jeremy"},{"family":"Gupta","given":"Sunetra"}],"issued":{"date-parts":[["2009",7,22]]}}}],"schema":"https://github.com/citation-style-language/schema/raw/master/csl-citation.json"}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(Cummings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xml:space="preserve">, 2005; Recker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2009)</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Since the seroprevalence data contains no information on pre-exposure history, we have reconstructed the age-specific number of exposures using catalytic model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{"citationID":"LXHoUPEb","properties":{"formattedCitation":"(Muench, 1959; Quan {\\i{}et al.}, 2018)","plainCitation":"(Muench, 1959; Quan et al., 2018)","noteIndex":0},"citationItems":[{"id":146,"uris":["http://zotero.org/groups/5139113/items/LHCC8I7T"],"itemData":{"id":146,"type":"book","ISBN":"978-0-674-42891-1","note":"DOI: 10.4159/harvard.9780674428928","publisher":"Harvard University Press","source":"DOI.org (Crossref)","title":"Catalytic Models in Epidemiology:","title-short":"Catalytic Models in Epidemiology","URL":"https://www.degruyter.com/document/doi/10.4159/harvard.9780674428928/html","author":[{"family":"Muench","given":"Hugo"}],"accessed":{"date-parts":[["2024",3,5]]},"issued":{"date-parts":[["1959",12,31]]}}},{"id":147,"uris":["http://zotero.org/groups/5139113/items/6VYV36AT"],"itemData":{"id":147,"type":"article-journal","container-title":"PLOS Neglected Tropical Diseases","DOI":"10.1371/journal.pntd.0006246","ISSN":"1935-2735","issue":"2","journalAbbreviation":"PLoS Negl Trop Dis","language":"en","page":"e0006246","source":"DOI.org (Crossref)","title":"Evidence of previous but not current transmission of chikungunya virus in southern and central Vietnam: Results from a systematic review and a seroprevalence study in four locations","title-short":"Evidence of previous but not current transmission of chikungunya virus in southern and central Vietnam","volume":"12","author":[{"family":"Quan","given":"Tran Minh"},{"family":"Phuong","given":"Huynh Thi"},{"family":"Vy","given":"Nguyen Ha Thao"},{"family":"Thanh","given":"Nguyen Thi Le"},{"family":"Lien","given":"Nguyen Thi Nam"},{"family":"Hong","given":"Tran Thi Kim"},{"family":"Dung","given":"Pham Ngoc"},{"family":"Chau","given":"Nguyen Van Vinh"},{"family":"Boni","given":"Maciej F."},{"family":"Clapham","given":"Hannah E."}],"editor":[{"family":"Althouse","given":"Benjamin"}],"issued":{"date-parts":[["2018",2,9]]}}}],"schema":"https://github.com/citation-style-language/schema/raw/master/csl-citation.json"}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(Muench, 1959; Quan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2018)</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under certain assumptions (see Figure 2, using the data from </w:t>
      </w:r>
      <w:proofErr w:type="spellStart"/>
      <w:r w:rsidRPr="0066248A">
        <w:rPr>
          <w:rFonts w:ascii="Times New Roman" w:eastAsia="Arial" w:hAnsi="Times New Roman" w:cs="Times New Roman"/>
          <w:color w:val="000000"/>
          <w:kern w:val="0"/>
          <w14:ligatures w14:val="none"/>
        </w:rPr>
        <w:t>sero</w:t>
      </w:r>
      <w:proofErr w:type="spellEnd"/>
      <w:r w:rsidRPr="0066248A">
        <w:rPr>
          <w:rFonts w:ascii="Times New Roman" w:eastAsia="Arial" w:hAnsi="Times New Roman" w:cs="Times New Roman"/>
          <w:color w:val="000000"/>
          <w:kern w:val="0"/>
          <w14:ligatures w14:val="none"/>
        </w:rPr>
        <w:t>-survey done in 2013 in Singapore). We see a significant change in the number of pre-exposures in the age group of around 40 years and older (see Figure 2, blue curve).</w:t>
      </w:r>
    </w:p>
    <w:p w14:paraId="2FAFC47E" w14:textId="50535957" w:rsidR="00E4283E" w:rsidRPr="0066248A" w:rsidRDefault="00E4283E" w:rsidP="0066248A">
      <w:pPr>
        <w:spacing w:before="240" w:after="0" w:line="480" w:lineRule="auto"/>
        <w:jc w:val="both"/>
        <w:rPr>
          <w:rFonts w:ascii="Times New Roman" w:eastAsia="Arial" w:hAnsi="Times New Roman" w:cs="Times New Roman"/>
          <w:color w:val="000000"/>
          <w:kern w:val="0"/>
          <w14:ligatures w14:val="none"/>
        </w:rPr>
      </w:pPr>
      <w:r w:rsidRPr="0066248A">
        <w:rPr>
          <w:rFonts w:ascii="Times New Roman" w:eastAsia="Arial" w:hAnsi="Times New Roman" w:cs="Times New Roman"/>
          <w:color w:val="000000"/>
          <w:kern w:val="0"/>
          <w14:ligatures w14:val="none"/>
        </w:rPr>
        <w:t xml:space="preserve">Here we explicitly model human-mosquito-human cycle of transmission. As dengue infection can result in a range of severity of disease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{"citationID":"IYSwYPsz","properties":{"formattedCitation":"(Ten Bosch {\\i{}et al.}, 2018)","plainCitation":"(Ten Bosch et al., 2018)","noteIndex":0},"citationItems":[{"id":151,"uris":["http://zotero.org/groups/5139113/items/3GKTFV9P"],"itemData":{"id":151,"type":"article-journal","container-title":"PLOS Pathogens","DOI":"10.1371/journal.ppat.1006965","ISSN":"1553-7374","issue":"5","journalAbbreviation":"PLoS Pathog","language":"en","page":"e1006965","source":"DOI.org (Crossref)","title":"Contributions from the silent majority dominate dengue virus transmission","volume":"14","author":[{"family":"Ten Bosch","given":"Quirine A."},{"family":"Clapham","given":"Hannah E."},{"family":"Lambrechts","given":"Louis"},{"family":"Duong","given":"Veasna"},{"family":"Buchy","given":"Philippe"},{"family":"Althouse","given":"Benjamin M."},{"family":"Lloyd","given":"Alun L."},{"family":"Waller","given":"Lance A."},{"family":"Morrison","given":"Amy C."},{"family":"Kitron","given":"Uriel"},{"family":"Vazquez-Prokopec","given":"Gonzalo M."},{"family":"Scott","given":"Thomas W."},{"family":"Perkins","given":"T. Alex"}],"editor":[{"family":"Ferguson","given":"Neil M."}],"issued":{"date-parts":[["2018",5,3]]}}}],"schema":"https://github.com/citation-style-language/schema/raw/master/csl-citation.json"}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(Ten Bosch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2018)</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w:t>
      </w:r>
      <w:r w:rsidRPr="0066248A">
        <w:rPr>
          <w:rFonts w:ascii="Times New Roman" w:eastAsia="Arial" w:hAnsi="Times New Roman" w:cs="Times New Roman"/>
          <w:color w:val="000000" w:themeColor="text1"/>
        </w:rPr>
        <w:t xml:space="preserve"> we consider</w:t>
      </w:r>
      <w:r w:rsidRPr="0066248A">
        <w:rPr>
          <w:rFonts w:ascii="Times New Roman" w:eastAsia="Arial" w:hAnsi="Times New Roman" w:cs="Times New Roman"/>
          <w:color w:val="000000"/>
          <w:kern w:val="0"/>
          <w14:ligatures w14:val="none"/>
        </w:rPr>
        <w:t xml:space="preserve"> asymptomatic, </w:t>
      </w:r>
      <w:r w:rsidRPr="0066248A">
        <w:rPr>
          <w:rFonts w:ascii="Times New Roman" w:eastAsia="Arial" w:hAnsi="Times New Roman" w:cs="Times New Roman"/>
          <w:color w:val="000000" w:themeColor="text1"/>
        </w:rPr>
        <w:t xml:space="preserve">symptomatic, </w:t>
      </w:r>
      <w:r w:rsidRPr="0066248A">
        <w:rPr>
          <w:rFonts w:ascii="Times New Roman" w:eastAsia="Arial" w:hAnsi="Times New Roman" w:cs="Times New Roman"/>
          <w:color w:val="000000"/>
          <w:kern w:val="0"/>
          <w14:ligatures w14:val="none"/>
        </w:rPr>
        <w:t>and severe outcomes (DHF, DSS) of the disease. With further breakdown possible for the cost effectiveness modelling, and as</w:t>
      </w:r>
      <w:r w:rsidRPr="0066248A">
        <w:rPr>
          <w:rFonts w:ascii="Times New Roman" w:eastAsia="Arial" w:hAnsi="Times New Roman" w:cs="Times New Roman"/>
          <w:color w:val="000000" w:themeColor="text1"/>
        </w:rPr>
        <w:t xml:space="preserve"> data becomes available.</w:t>
      </w:r>
      <w:r w:rsidRPr="0066248A">
        <w:rPr>
          <w:rFonts w:ascii="Times New Roman" w:eastAsia="Arial" w:hAnsi="Times New Roman" w:cs="Times New Roman"/>
          <w:color w:val="000000"/>
          <w:kern w:val="0"/>
          <w14:ligatures w14:val="none"/>
        </w:rPr>
        <w:t xml:space="preserve"> We consider antibody-dependent-enhancement (ADE) in disease severity as increased rate of hospitalization for secondary infection. We assume that after primary infection individuals acquire permanent homologous immunity, and temporary heterologous immunity. For both Primary and secondary infection, a certain proportion of infections would require hospitalization. The information on rate </w:t>
      </w:r>
      <w:r w:rsidRPr="0066248A">
        <w:rPr>
          <w:rFonts w:ascii="Times New Roman" w:eastAsia="Arial" w:hAnsi="Times New Roman" w:cs="Times New Roman"/>
          <w:color w:val="000000"/>
          <w:kern w:val="0"/>
          <w14:ligatures w14:val="none"/>
        </w:rPr>
        <w:lastRenderedPageBreak/>
        <w:t xml:space="preserve">of hospitalization has been taken from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{"citationID":"Z4TxxQxq","properties":{"formattedCitation":"(Ang {\\i{}et al.}, 2019)","plainCitation":"(Ang et al., 2019)","noteIndex":0},"citationItems":[{"id":157,"uris":["http://zotero.org/groups/5139113/items/9WHFN4D4"],"itemData":{"id":157,"type":"article-journal","container-title":"PLOS Neglected Tropical Diseases","DOI":"10.1371/journal.pntd.0007389","ISSN":"1935-2735","issue":"5","journalAbbreviation":"PLoS Negl Trop Dis","language":"en","page":"e0007389","source":"DOI.org (Crossref)","title":"A 15-year review of dengue hospitalizations in Singapore: Reducing admissions without adverse consequences, 2003 to 2017","title-short":"A 15-year review of dengue hospitalizations in Singapore","volume":"13","author":[{"family":"Ang","given":"Li Wei"},{"family":"Thein","given":"Tun-Linn"},{"family":"Ng","given":"Yixiang"},{"family":"Boudville","given":"Irving Charles"},{"family":"Chia","given":"Po Ying"},{"family":"Lee","given":"Vernon Jian Ming"},{"family":"Leo","given":"Yee-Sin"}],"editor":[{"family":"Althouse","given":"Benjamin"}],"issued":{"date-parts":[["2019",5,15]]}}}],"schema":"https://github.com/citation-style-language/schema/raw/master/csl-citation.json"}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(Ang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2019)</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We follow a similar trend in hospitalization rate in our model.</w:t>
      </w:r>
    </w:p>
    <w:p w14:paraId="0511F3E3" w14:textId="77777777" w:rsidR="00E4283E" w:rsidRDefault="00E4283E" w:rsidP="0066248A">
      <w:pPr>
        <w:spacing w:before="240" w:after="0" w:line="480" w:lineRule="auto"/>
        <w:jc w:val="both"/>
        <w:rPr>
          <w:rFonts w:ascii="Times New Roman" w:eastAsia="Arial" w:hAnsi="Times New Roman" w:cs="Times New Roman"/>
          <w:color w:val="000000"/>
          <w:kern w:val="0"/>
          <w14:ligatures w14:val="none"/>
        </w:rPr>
      </w:pPr>
      <w:r w:rsidRPr="0066248A">
        <w:rPr>
          <w:rFonts w:ascii="Times New Roman" w:eastAsia="Arial" w:hAnsi="Times New Roman" w:cs="Times New Roman"/>
          <w:color w:val="000000"/>
          <w:kern w:val="0"/>
          <w14:ligatures w14:val="none"/>
        </w:rPr>
        <w:t xml:space="preserve">For human to mosquito transmission, we assume both symptomatic and asymptomatic individual can transmit the disease where the infectiousness of asymptomatic individuals is higher than that of symptomatic individuals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{"citationID":"VF4ECmPJ","properties":{"formattedCitation":"(Duong {\\i{}et al.}, 2015)","plainCitation":"(Duong et al., 2015)","noteIndex":0},"citationItems":[{"id":149,"uris":["http://zotero.org/groups/5139113/items/5FN4Q6C5"],"itemData":{"id":149,"type":"article-journal","abstract":"Significance\n            Our work provides evidence that people who are infected with dengue virus without developing detectable clinical symptoms or prior to the onset of symptoms are infectious to mosquitoes. At a given level of viremia, symptom-free people were markedly more infectious to mosquitoes than clinically symptomatic patients. Our results fundamentally change the current paradigm for dengue epidemiology and control, based on detection of dengue virus-infected cases with apparent illness.\n          , \n            Three-quarters of the estimated 390 million dengue virus (DENV) infections each year are clinically inapparent. People with inapparent dengue virus infections are generally considered dead-end hosts for transmission because they do not reach sufficiently high viremia levels to infect mosquitoes. Here, we show that, despite their lower average level of viremia, asymptomatic people can be infectious to mosquitoes. Moreover, at a given level of viremia, DENV-infected people with no detectable symptoms or before the onset of symptoms are significantly more infectious to mosquitoes than people with symptomatic infections. Because DENV viremic people without clinical symptoms may be exposed to more mosquitoes through their undisrupted daily routines than sick people and represent the bulk of DENV infections, our data indicate that they have the potential to contribute significantly more to virus transmission to mosquitoes than previously recognized.","container-title":"Proceedings of the National Academy of Sciences","DOI":"10.1073/pnas.1508114112","ISSN":"0027-8424, 1091-6490","issue":"47","journalAbbreviation":"Proc. Natl. Acad. Sci. U.S.A.","language":"en","page":"14688-14693","source":"DOI.org (Crossref)","title":"Asymptomatic humans transmit dengue virus to mosquitoes","volume":"112","author":[{"family":"Duong","given":"Veasna"},{"family":"Lambrechts","given":"Louis"},{"family":"Paul","given":"Richard E."},{"family":"Ly","given":"Sowath"},{"family":"Lay","given":"Rath Srey"},{"family":"Long","given":"Kanya C."},{"family":"Huy","given":"Rekol"},{"family":"Tarantola","given":"Arnaud"},{"family":"Scott","given":"Thomas W."},{"family":"Sakuntabhai","given":"Anavaj"},{"family":"Buchy","given":"Philippe"}],"issued":{"date-parts":[["2015",11,24]]}}}],"schema":"https://github.com/citation-style-language/schema/raw/master/csl-citation.json"}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(Duong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2015)</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However, we will perform sensitivity analysis on this assumption as some of the previous studies </w:t>
      </w:r>
      <w:r w:rsidRPr="0066248A">
        <w:rPr>
          <w:rFonts w:ascii="Times New Roman" w:eastAsia="Times New Roman" w:hAnsi="Times New Roman" w:cs="Times New Roman"/>
          <w:color w:val="000000"/>
          <w:kern w:val="0"/>
          <w14:ligatures w14:val="none"/>
        </w:rPr>
        <w:fldChar w:fldCharType="begin"/>
      </w:r>
      <w:r w:rsidRPr="0066248A">
        <w:rPr>
          <w:rFonts w:ascii="Times New Roman" w:eastAsia="Times New Roman" w:hAnsi="Times New Roman" w:cs="Times New Roman"/>
          <w:color w:val="000000"/>
          <w:kern w:val="0"/>
          <w14:ligatures w14:val="none"/>
        </w:rPr>
        <w:instrText xml:space="preserve"> ADDIN ZOTERO_ITEM CSL_CITATION {"citationID":"KPJfx58K","properties":{"formattedCitation":"(Ferguson {\\i{}et al.}, 2016)","plainCitation":"(Ferguson et al., 2016)","noteIndex":0},"citationItems":[{"id":10,"uris":["http://zotero.org/users/9806065/items/KRU294T8"],"itemData":{"id":10,"type":"article-journal","abstract":"The first approved dengue vaccine has now been licensed in six countries. We propose that this live attenuated vaccine acts like a silent natural infection in priming or boosting host immunity. A transmission dynamic model incorporating this hypothesis fits recent clinical trial data well and predicts that vaccine effectiveness depends strongly on the age group vaccinated and local transmission intensity. Vaccination in low-transmission settings may increase the incidence of more severe “secondary-like” infection and, thus, the numbers hospitalized for dengue. In moderate transmission settings, we predict positive impacts overall but increased risks of hospitalization with dengue disease for individuals who are vaccinated when seronegative. However, in high-transmission settings, vaccination benefits both the whole population and seronegative recipients. Our analysis can help inform policy-makers evaluating this and other candidate dengue vaccines.","container-title":"Science","DOI":"10.1126/science.aaf9590","ISSN":"0036-8075, 1095-9203","issue":"6303","journalAbbreviation":"Science","language":"en","page":"1033-1036","source":"DOI.org (Crossref)","title":"Benefits and risks of the Sanofi-Pasteur dengue vaccine: Modeling optimal deployment","title-short":"Benefits and risks of the Sanofi-Pasteur dengue vaccine","volume":"353","author":[{"family":"Ferguson","given":"Neil M."},{"family":"Rodríguez-Barraquer","given":"Isabel"},{"family":"Dorigatti","given":"Ilaria"},{"family":"Mier-y-Teran-Romero","given":"Luis"},{"family":"Laydon","given":"Daniel J."},{"family":"Cummings","given":"Derek A. T."}],"issued":{"date-parts":[["2016",9,2]]}}}],"schema":"https://github.com/citation-style-language/schema/raw/master/csl-citation.json"} </w:instrText>
      </w:r>
      <w:r w:rsidRPr="0066248A">
        <w:rPr>
          <w:rFonts w:ascii="Times New Roman" w:eastAsia="Times New Roman" w:hAnsi="Times New Roman" w:cs="Times New Roman"/>
          <w:color w:val="000000"/>
          <w:kern w:val="0"/>
          <w14:ligatures w14:val="none"/>
        </w:rPr>
        <w:fldChar w:fldCharType="separate"/>
      </w:r>
      <w:r w:rsidRPr="0066248A">
        <w:rPr>
          <w:rFonts w:ascii="Times New Roman" w:eastAsia="Arial" w:hAnsi="Times New Roman" w:cs="Times New Roman"/>
          <w:kern w:val="0"/>
        </w:rPr>
        <w:t xml:space="preserve">(Ferguson </w:t>
      </w:r>
      <w:r w:rsidRPr="0066248A">
        <w:rPr>
          <w:rFonts w:ascii="Times New Roman" w:eastAsia="Arial" w:hAnsi="Times New Roman" w:cs="Times New Roman"/>
          <w:i/>
          <w:iCs/>
          <w:kern w:val="0"/>
        </w:rPr>
        <w:t>et al.</w:t>
      </w:r>
      <w:r w:rsidRPr="0066248A">
        <w:rPr>
          <w:rFonts w:ascii="Times New Roman" w:eastAsia="Arial" w:hAnsi="Times New Roman" w:cs="Times New Roman"/>
          <w:kern w:val="0"/>
        </w:rPr>
        <w:t>, 2016)</w:t>
      </w:r>
      <w:r w:rsidRPr="0066248A">
        <w:rPr>
          <w:rFonts w:ascii="Times New Roman" w:eastAsia="Times New Roman" w:hAnsi="Times New Roman" w:cs="Times New Roman"/>
          <w:color w:val="000000"/>
          <w:kern w:val="0"/>
          <w14:ligatures w14:val="none"/>
        </w:rPr>
        <w:fldChar w:fldCharType="end"/>
      </w:r>
      <w:r w:rsidRPr="0066248A">
        <w:rPr>
          <w:rFonts w:ascii="Times New Roman" w:eastAsia="Arial" w:hAnsi="Times New Roman" w:cs="Times New Roman"/>
          <w:color w:val="000000"/>
          <w:kern w:val="0"/>
          <w14:ligatures w14:val="none"/>
        </w:rPr>
        <w:t xml:space="preserve"> have assumed the completely opposite scenario, i.e. symptomatic individuals are more infectious than asymptomatic individuals. </w:t>
      </w:r>
    </w:p>
    <w:p w14:paraId="1EC37D3B" w14:textId="77777777" w:rsidR="00293184" w:rsidRDefault="00293184" w:rsidP="0066248A">
      <w:pPr>
        <w:spacing w:before="240" w:after="0" w:line="480" w:lineRule="auto"/>
        <w:jc w:val="both"/>
        <w:rPr>
          <w:rFonts w:ascii="Times New Roman" w:eastAsia="Arial" w:hAnsi="Times New Roman" w:cs="Times New Roman"/>
          <w:color w:val="000000"/>
          <w:kern w:val="0"/>
          <w14:ligatures w14:val="none"/>
        </w:rPr>
      </w:pPr>
    </w:p>
    <w:p w14:paraId="643EEC8E" w14:textId="5682B767" w:rsidR="00293184" w:rsidRDefault="00293184" w:rsidP="0066248A">
      <w:pPr>
        <w:spacing w:before="240" w:after="0" w:line="480" w:lineRule="auto"/>
        <w:jc w:val="both"/>
        <w:rPr>
          <w:rFonts w:ascii="Times New Roman" w:eastAsia="Arial" w:hAnsi="Times New Roman" w:cs="Times New Roman"/>
          <w:b/>
          <w:bCs/>
          <w:color w:val="000000"/>
          <w:kern w:val="0"/>
          <w14:ligatures w14:val="none"/>
        </w:rPr>
      </w:pPr>
      <w:r w:rsidRPr="00293184">
        <w:rPr>
          <w:rFonts w:ascii="Times New Roman" w:eastAsia="Arial" w:hAnsi="Times New Roman" w:cs="Times New Roman"/>
          <w:b/>
          <w:bCs/>
          <w:color w:val="000000"/>
          <w:kern w:val="0"/>
          <w14:ligatures w14:val="none"/>
        </w:rPr>
        <w:t>Conditional Vaccine efficacy</w:t>
      </w:r>
      <w:r>
        <w:rPr>
          <w:rFonts w:ascii="Times New Roman" w:eastAsia="Arial" w:hAnsi="Times New Roman" w:cs="Times New Roman"/>
          <w:b/>
          <w:bCs/>
          <w:color w:val="000000"/>
          <w:kern w:val="0"/>
          <w14:ligatures w14:val="none"/>
        </w:rPr>
        <w:t>:</w:t>
      </w:r>
    </w:p>
    <w:p w14:paraId="1D82AE91" w14:textId="63049F9E" w:rsidR="00293184" w:rsidRPr="00293184" w:rsidRDefault="00293184" w:rsidP="0066248A">
      <w:pPr>
        <w:spacing w:before="240" w:after="0" w:line="480" w:lineRule="auto"/>
        <w:jc w:val="both"/>
        <w:rPr>
          <w:rFonts w:ascii="Times New Roman" w:eastAsia="Arial" w:hAnsi="Times New Roman" w:cs="Times New Roman"/>
          <w:color w:val="000000"/>
          <w:kern w:val="0"/>
          <w14:ligatures w14:val="none"/>
        </w:rPr>
      </w:pPr>
      <w:r w:rsidRPr="00293184">
        <w:rPr>
          <w:rFonts w:ascii="Times New Roman" w:eastAsia="Arial" w:hAnsi="Times New Roman" w:cs="Times New Roman"/>
          <w:color w:val="000000"/>
          <w:kern w:val="0"/>
          <w14:ligatures w14:val="none"/>
        </w:rPr>
        <w:t>Since we</w:t>
      </w:r>
      <w:r>
        <w:rPr>
          <w:rFonts w:ascii="Times New Roman" w:eastAsia="Arial" w:hAnsi="Times New Roman" w:cs="Times New Roman"/>
          <w:color w:val="000000"/>
          <w:kern w:val="0"/>
          <w14:ligatures w14:val="none"/>
        </w:rPr>
        <w:t xml:space="preserve"> consider </w:t>
      </w:r>
    </w:p>
    <w:p w14:paraId="2799EA82" w14:textId="77777777" w:rsidR="0066248A" w:rsidRPr="007329D3" w:rsidRDefault="0066248A" w:rsidP="00E4283E">
      <w:pPr>
        <w:spacing w:before="240" w:after="0" w:line="360" w:lineRule="auto"/>
        <w:rPr>
          <w:rFonts w:ascii="Times New Roman" w:eastAsia="Arial" w:hAnsi="Times New Roman" w:cs="Times New Roman"/>
          <w:color w:val="000000"/>
          <w:kern w:val="0"/>
          <w:sz w:val="22"/>
          <w:szCs w:val="22"/>
          <w14:ligatures w14:val="none"/>
        </w:rPr>
      </w:pPr>
    </w:p>
    <w:p w14:paraId="0FD2F9D1" w14:textId="7CDE8C1A" w:rsidR="0066248A" w:rsidRPr="007329D3" w:rsidRDefault="0066248A" w:rsidP="0066248A">
      <w:pPr>
        <w:spacing w:line="360" w:lineRule="auto"/>
        <w:rPr>
          <w:rFonts w:ascii="Times New Roman" w:eastAsia="Arial" w:hAnsi="Times New Roman" w:cs="Times New Roman"/>
          <w:b/>
          <w:bCs/>
          <w:sz w:val="22"/>
          <w:szCs w:val="22"/>
        </w:rPr>
      </w:pPr>
      <w:r w:rsidRPr="007329D3">
        <w:rPr>
          <w:rFonts w:ascii="Times New Roman" w:eastAsia="Arial" w:hAnsi="Times New Roman" w:cs="Times New Roman"/>
          <w:b/>
          <w:bCs/>
          <w:sz w:val="22"/>
          <w:szCs w:val="22"/>
        </w:rPr>
        <w:t>Mathematical form of the model</w:t>
      </w:r>
      <w:r w:rsidR="007329D3">
        <w:rPr>
          <w:rFonts w:ascii="Times New Roman" w:eastAsia="Arial" w:hAnsi="Times New Roman" w:cs="Times New Roman"/>
          <w:b/>
          <w:bCs/>
          <w:sz w:val="22"/>
          <w:szCs w:val="22"/>
        </w:rPr>
        <w:t xml:space="preserve"> (will move to supplementary)</w:t>
      </w:r>
    </w:p>
    <w:p w14:paraId="2BC69261" w14:textId="42CB4368"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Λ</m:t>
              </m:r>
            </m:e>
            <m:sup>
              <m:r>
                <m:rPr>
                  <m:sty m:val="bi"/>
                </m:rPr>
                <w:rPr>
                  <w:rFonts w:ascii="Cambria Math" w:hAnsi="Cambria Math" w:cs="Arial"/>
                  <w:sz w:val="22"/>
                  <w:szCs w:val="22"/>
                </w:rPr>
                <m:t>h</m:t>
              </m:r>
            </m:sup>
          </m:sSup>
          <m:r>
            <m:rPr>
              <m:sty m:val="bi"/>
            </m:rPr>
            <w:rPr>
              <w:rFonts w:ascii="Cambria Math" w:hAnsi="Cambria Math" w:cs="Arial"/>
              <w:sz w:val="22"/>
              <w:szCs w:val="22"/>
            </w:rPr>
            <m:t>-</m:t>
          </m:r>
          <m:d>
            <m:dPr>
              <m:ctrlPr>
                <w:rPr>
                  <w:rFonts w:ascii="Cambria Math" w:hAnsi="Cambria Math" w:cs="Arial"/>
                  <w:b/>
                  <w:bCs/>
                  <w:i/>
                  <w:sz w:val="22"/>
                  <w:szCs w:val="22"/>
                </w:rPr>
              </m:ctrlPr>
            </m:dPr>
            <m:e>
              <m:nary>
                <m:naryPr>
                  <m:chr m:val="∑"/>
                  <m:ctrlPr>
                    <w:rPr>
                      <w:rFonts w:ascii="Cambria Math" w:hAnsi="Cambria Math" w:cs="Arial"/>
                      <w:b/>
                      <w:bCs/>
                      <w:sz w:val="22"/>
                      <w:szCs w:val="22"/>
                    </w:rPr>
                  </m:ctrlPr>
                </m:naryPr>
                <m:sub>
                  <m:r>
                    <m:rPr>
                      <m:sty m:val="bi"/>
                    </m:rPr>
                    <w:rPr>
                      <w:rFonts w:ascii="Cambria Math" w:hAnsi="Cambria Math" w:cs="Arial"/>
                      <w:sz w:val="22"/>
                      <w:szCs w:val="22"/>
                    </w:rPr>
                    <m:t>i=1</m:t>
                  </m:r>
                  <m:ctrlPr>
                    <w:rPr>
                      <w:rFonts w:ascii="Cambria Math" w:hAnsi="Cambria Math" w:cs="Arial"/>
                      <w:b/>
                      <w:bCs/>
                      <w:i/>
                      <w:sz w:val="22"/>
                      <w:szCs w:val="22"/>
                    </w:rPr>
                  </m:ctrlPr>
                </m:sub>
                <m:sup>
                  <m:r>
                    <m:rPr>
                      <m:sty m:val="bi"/>
                    </m:rPr>
                    <w:rPr>
                      <w:rFonts w:ascii="Cambria Math" w:hAnsi="Cambria Math" w:cs="Arial"/>
                      <w:sz w:val="22"/>
                      <w:szCs w:val="22"/>
                    </w:rPr>
                    <m:t>4</m:t>
                  </m:r>
                  <m:ctrlPr>
                    <w:rPr>
                      <w:rFonts w:ascii="Cambria Math" w:hAnsi="Cambria Math" w:cs="Arial"/>
                      <w:b/>
                      <w:bCs/>
                      <w:i/>
                      <w:sz w:val="22"/>
                      <w:szCs w:val="22"/>
                    </w:rPr>
                  </m:ctrlPr>
                </m:sup>
                <m:e>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e>
              </m:nary>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m:t>
                  </m:r>
                </m:sup>
              </m:sSup>
            </m:e>
          </m:d>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a-1</m:t>
              </m:r>
            </m:sup>
          </m:s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r>
            <m:rPr>
              <m:sty m:val="bi"/>
            </m:rPr>
            <w:rPr>
              <w:rFonts w:ascii="Cambria Math" w:hAnsi="Cambria Math" w:cs="Arial"/>
              <w:sz w:val="22"/>
              <w:szCs w:val="22"/>
            </w:rPr>
            <m:t>-p</m:t>
          </m:r>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r>
            <m:rPr>
              <m:sty m:val="bi"/>
            </m:rPr>
            <w:rPr>
              <w:rFonts w:ascii="Cambria Math" w:hAnsi="Cambria Math" w:cs="Arial"/>
              <w:sz w:val="22"/>
              <w:szCs w:val="22"/>
            </w:rPr>
            <m:t>,</m:t>
          </m:r>
        </m:oMath>
      </m:oMathPara>
    </w:p>
    <w:p w14:paraId="7BEA69B4" w14:textId="400E046E" w:rsidR="0066248A" w:rsidRPr="00804A38" w:rsidRDefault="00000000" w:rsidP="0066248A">
      <w:pPr>
        <w:spacing w:line="360" w:lineRule="auto"/>
        <w:rPr>
          <w:rFonts w:ascii="Arial" w:eastAsia="Arial" w:hAnsi="Arial" w:cs="Arial"/>
          <w:b/>
          <w:bCs/>
          <w:sz w:val="22"/>
          <w:szCs w:val="22"/>
        </w:rPr>
      </w:p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r>
          <m:rPr>
            <m:sty m:val="bi"/>
          </m:rPr>
          <w:rPr>
            <w:rFonts w:ascii="Cambria Math" w:hAnsi="Cambria Math" w:cs="Arial"/>
            <w:sz w:val="22"/>
            <w:szCs w:val="22"/>
          </w:rPr>
          <m:t>-</m:t>
        </m:r>
        <m:d>
          <m:dPr>
            <m:ctrlPr>
              <w:rPr>
                <w:rFonts w:ascii="Cambria Math" w:hAnsi="Cambria Math" w:cs="Arial"/>
                <w:b/>
                <w:bCs/>
                <w:i/>
                <w:sz w:val="22"/>
                <w:szCs w:val="22"/>
              </w:rPr>
            </m:ctrlPr>
          </m:dPr>
          <m:e>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1</m:t>
                </m:r>
              </m:sub>
            </m:sSub>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γ</m:t>
                </m:r>
              </m:e>
              <m:sub>
                <m:r>
                  <m:rPr>
                    <m:sty m:val="bi"/>
                  </m:rPr>
                  <w:rPr>
                    <w:rFonts w:ascii="Cambria Math" w:hAnsi="Cambria Math" w:cs="Arial"/>
                    <w:sz w:val="22"/>
                    <w:szCs w:val="22"/>
                  </w:rPr>
                  <m:t>1</m:t>
                </m:r>
              </m:sub>
            </m:sSub>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w:r w:rsidR="0066248A" w:rsidRPr="00804A38">
        <w:rPr>
          <w:rFonts w:ascii="Arial" w:eastAsia="Arial" w:hAnsi="Arial" w:cs="Arial"/>
          <w:b/>
          <w:bCs/>
          <w:sz w:val="22"/>
          <w:szCs w:val="22"/>
        </w:rPr>
        <w:t xml:space="preserve"> </w:t>
      </w:r>
    </w:p>
    <w:p w14:paraId="16F75893"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γ</m:t>
              </m:r>
            </m:e>
            <m:sub>
              <m:r>
                <m:rPr>
                  <m:sty m:val="bi"/>
                </m:rPr>
                <w:rPr>
                  <w:rFonts w:ascii="Cambria Math" w:hAnsi="Cambria Math" w:cs="Arial"/>
                  <w:sz w:val="22"/>
                  <w:szCs w:val="22"/>
                </w:rPr>
                <m:t>1</m:t>
              </m:r>
            </m:sub>
          </m:sSub>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i"/>
                    </m:rPr>
                    <w:rPr>
                      <w:rFonts w:ascii="Cambria Math" w:hAnsi="Cambria Math" w:cs="Arial"/>
                      <w:sz w:val="22"/>
                      <w:szCs w:val="22"/>
                    </w:rPr>
                    <m:t>A</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e>
          </m:d>
          <m:r>
            <m:rPr>
              <m:sty m:val="bi"/>
            </m:rPr>
            <w:rPr>
              <w:rFonts w:ascii="Cambria Math" w:hAnsi="Cambria Math" w:cs="Arial"/>
              <w:sz w:val="22"/>
              <w:szCs w:val="22"/>
            </w:rPr>
            <m:t>-</m:t>
          </m:r>
          <m:d>
            <m:dPr>
              <m:ctrlPr>
                <w:rPr>
                  <w:rFonts w:ascii="Cambria Math" w:hAnsi="Cambria Math" w:cs="Arial"/>
                  <w:b/>
                  <w:bCs/>
                  <w:i/>
                  <w:sz w:val="22"/>
                  <w:szCs w:val="22"/>
                </w:rPr>
              </m:ctrlPr>
            </m:dPr>
            <m:e>
              <m:r>
                <m:rPr>
                  <m:sty m:val="b"/>
                </m:rPr>
                <w:rPr>
                  <w:rFonts w:ascii="Cambria Math" w:hAnsi="Cambria Math" w:cs="Arial"/>
                  <w:sz w:val="22"/>
                  <w:szCs w:val="22"/>
                </w:rPr>
                <m:t>α</m:t>
              </m:r>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-p</m:t>
          </m:r>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2A0DC3D0"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r>
            <m:rPr>
              <m:sty m:val="b"/>
            </m:rPr>
            <w:rPr>
              <w:rFonts w:ascii="Cambria Math" w:hAnsi="Cambria Math" w:cs="Arial"/>
              <w:sz w:val="22"/>
              <w:szCs w:val="22"/>
            </w:rPr>
            <m:t>α</m:t>
          </m:r>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d>
            <m:dPr>
              <m:ctrlPr>
                <w:rPr>
                  <w:rFonts w:ascii="Cambria Math" w:hAnsi="Cambria Math" w:cs="Arial"/>
                  <w:b/>
                  <w:bCs/>
                  <w:i/>
                  <w:sz w:val="22"/>
                  <w:szCs w:val="22"/>
                </w:rPr>
              </m:ctrlPr>
            </m:dPr>
            <m:e>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j</m:t>
                  </m:r>
                  <m:r>
                    <m:rPr>
                      <m:sty m:val="b"/>
                    </m:rPr>
                    <w:rPr>
                      <w:rFonts w:ascii="Cambria Math" w:hAnsi="Cambria Math" w:cs="Arial"/>
                      <w:sz w:val="22"/>
                      <w:szCs w:val="22"/>
                    </w:rPr>
                    <m:t>≠</m:t>
                  </m:r>
                  <m:r>
                    <m:rPr>
                      <m:sty m:val="bi"/>
                    </m:rPr>
                    <w:rPr>
                      <w:rFonts w:ascii="Cambria Math" w:hAnsi="Cambria Math" w:cs="Arial"/>
                      <w:sz w:val="22"/>
                      <w:szCs w:val="22"/>
                    </w:rPr>
                    <m:t>i</m:t>
                  </m:r>
                  <m:ctrlPr>
                    <w:rPr>
                      <w:rFonts w:ascii="Cambria Math" w:hAnsi="Cambria Math" w:cs="Arial"/>
                      <w:b/>
                      <w:bCs/>
                      <w:i/>
                      <w:sz w:val="22"/>
                      <w:szCs w:val="22"/>
                    </w:rPr>
                  </m:ctrlPr>
                </m:sub>
                <m:sup>
                  <m:ctrlPr>
                    <w:rPr>
                      <w:rFonts w:ascii="Cambria Math" w:hAnsi="Cambria Math" w:cs="Arial"/>
                      <w:b/>
                      <w:bCs/>
                      <w:i/>
                      <w:sz w:val="22"/>
                      <w:szCs w:val="22"/>
                    </w:rPr>
                  </m:ctrlPr>
                </m:sup>
                <m:e>
                  <m:sSubSup>
                    <m:sSubSupPr>
                      <m:ctrlPr>
                        <w:rPr>
                          <w:rFonts w:ascii="Cambria Math" w:hAnsi="Cambria Math" w:cs="Arial"/>
                          <w:b/>
                          <w:bCs/>
                          <w:i/>
                          <w:sz w:val="22"/>
                          <w:szCs w:val="22"/>
                        </w:rPr>
                      </m:ctrlPr>
                    </m:sSubSupPr>
                    <m:e>
                      <m:r>
                        <m:rPr>
                          <m:sty m:val="b"/>
                        </m:rPr>
                        <w:rPr>
                          <w:rFonts w:ascii="Cambria Math" w:hAnsi="Cambria Math" w:cs="Arial"/>
                          <w:sz w:val="22"/>
                          <w:szCs w:val="22"/>
                        </w:rPr>
                        <m:t>λ</m:t>
                      </m:r>
                    </m:e>
                    <m:sub>
                      <m:r>
                        <m:rPr>
                          <m:sty m:val="bi"/>
                        </m:rPr>
                        <w:rPr>
                          <w:rFonts w:ascii="Cambria Math" w:hAnsi="Cambria Math" w:cs="Arial"/>
                          <w:sz w:val="22"/>
                          <w:szCs w:val="22"/>
                        </w:rPr>
                        <m:t>j</m:t>
                      </m:r>
                    </m:sub>
                    <m:sup>
                      <m:r>
                        <m:rPr>
                          <m:sty m:val="bi"/>
                        </m:rPr>
                        <w:rPr>
                          <w:rFonts w:ascii="Cambria Math" w:hAnsi="Cambria Math" w:cs="Arial"/>
                          <w:sz w:val="22"/>
                          <w:szCs w:val="22"/>
                        </w:rPr>
                        <m:t>ma</m:t>
                      </m:r>
                    </m:sup>
                  </m:sSubSup>
                  <m:ctrlPr>
                    <w:rPr>
                      <w:rFonts w:ascii="Cambria Math" w:hAnsi="Cambria Math" w:cs="Arial"/>
                      <w:b/>
                      <w:bCs/>
                      <w:i/>
                      <w:sz w:val="22"/>
                      <w:szCs w:val="22"/>
                    </w:rPr>
                  </m:ctrlPr>
                </m:e>
              </m:nary>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-p</m:t>
          </m:r>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6D1DD62E"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ij</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ρ</m:t>
              </m:r>
            </m:e>
            <m:sub>
              <m:r>
                <m:rPr>
                  <m:sty m:val="bi"/>
                </m:rPr>
                <w:rPr>
                  <w:rFonts w:ascii="Cambria Math" w:hAnsi="Cambria Math" w:cs="Arial"/>
                  <w:sz w:val="22"/>
                  <w:szCs w:val="22"/>
                </w:rPr>
                <m:t>2</m:t>
              </m:r>
            </m:sub>
          </m:sSub>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j</m:t>
              </m:r>
            </m:sub>
            <m:sup>
              <m:r>
                <m:rPr>
                  <m:sty m:val="bi"/>
                </m:rPr>
                <w:rPr>
                  <w:rFonts w:ascii="Cambria Math" w:hAnsi="Cambria Math" w:cs="Arial"/>
                  <w:sz w:val="22"/>
                  <w:szCs w:val="22"/>
                </w:rPr>
                <m:t>ma</m:t>
              </m:r>
            </m:sup>
          </m:sSubSup>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d>
            <m:dPr>
              <m:ctrlPr>
                <w:rPr>
                  <w:rFonts w:ascii="Cambria Math" w:hAnsi="Cambria Math" w:cs="Arial"/>
                  <w:b/>
                  <w:bCs/>
                  <w:i/>
                  <w:sz w:val="22"/>
                  <w:szCs w:val="22"/>
                </w:rPr>
              </m:ctrlPr>
            </m:dPr>
            <m:e>
              <m:sSub>
                <m:sSubPr>
                  <m:ctrlPr>
                    <w:rPr>
                      <w:rFonts w:ascii="Cambria Math" w:hAnsi="Cambria Math" w:cs="Arial"/>
                      <w:b/>
                      <w:bCs/>
                      <w:i/>
                      <w:sz w:val="22"/>
                      <w:szCs w:val="22"/>
                    </w:rPr>
                  </m:ctrlPr>
                </m:sSubPr>
                <m:e>
                  <m:r>
                    <m:rPr>
                      <m:sty m:val="b"/>
                    </m:rPr>
                    <w:rPr>
                      <w:rFonts w:ascii="Cambria Math" w:hAnsi="Cambria Math" w:cs="Arial"/>
                      <w:sz w:val="22"/>
                      <w:szCs w:val="22"/>
                    </w:rPr>
                    <m:t>γ</m:t>
                  </m:r>
                </m:e>
                <m:sub>
                  <m:r>
                    <m:rPr>
                      <m:sty m:val="bi"/>
                    </m:rPr>
                    <w:rPr>
                      <w:rFonts w:ascii="Cambria Math" w:hAnsi="Cambria Math" w:cs="Arial"/>
                      <w:sz w:val="22"/>
                      <w:szCs w:val="22"/>
                    </w:rPr>
                    <m:t>2</m:t>
                  </m:r>
                </m:sub>
              </m:sSub>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2</m:t>
                  </m:r>
                </m:sub>
              </m:sSub>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ij</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ij</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ij</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2CAE97D3" w14:textId="718FDD19" w:rsidR="0066248A" w:rsidRPr="00804A38" w:rsidRDefault="0066248A" w:rsidP="0066248A">
      <w:pPr>
        <w:spacing w:line="360" w:lineRule="auto"/>
        <w:rPr>
          <w:rFonts w:ascii="Arial" w:eastAsia="Arial" w:hAnsi="Arial" w:cs="Arial"/>
          <w:b/>
          <w:bCs/>
          <w:sz w:val="22"/>
          <w:szCs w:val="22"/>
        </w:rPr>
      </w:pPr>
    </w:p>
    <w:p w14:paraId="371CE0A7"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m:t>
                  </m:r>
                </m:sup>
              </m:s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γ</m:t>
              </m:r>
            </m:e>
            <m:sub>
              <m:r>
                <m:rPr>
                  <m:sty m:val="bi"/>
                </m:rPr>
                <w:rPr>
                  <w:rFonts w:ascii="Cambria Math" w:hAnsi="Cambria Math" w:cs="Arial"/>
                  <w:sz w:val="22"/>
                  <w:szCs w:val="22"/>
                </w:rPr>
                <m:t>2</m:t>
              </m:r>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i,j</m:t>
                  </m:r>
                  <m:ctrlPr>
                    <w:rPr>
                      <w:rFonts w:ascii="Cambria Math" w:hAnsi="Cambria Math" w:cs="Arial"/>
                      <w:b/>
                      <w:bCs/>
                      <w:i/>
                      <w:sz w:val="22"/>
                      <w:szCs w:val="22"/>
                    </w:rPr>
                  </m:ctrlPr>
                </m:sub>
                <m:sup>
                  <m:ctrlPr>
                    <w:rPr>
                      <w:rFonts w:ascii="Cambria Math" w:hAnsi="Cambria Math" w:cs="Arial"/>
                      <w:b/>
                      <w:bCs/>
                      <w:i/>
                      <w:sz w:val="22"/>
                      <w:szCs w:val="22"/>
                    </w:rPr>
                  </m:ctrlPr>
                </m:sup>
                <m:e>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ij</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i"/>
                            </m:rPr>
                            <w:rPr>
                              <w:rFonts w:ascii="Cambria Math" w:hAnsi="Cambria Math" w:cs="Arial"/>
                              <w:sz w:val="22"/>
                              <w:szCs w:val="22"/>
                            </w:rPr>
                            <m:t>A</m:t>
                          </m:r>
                        </m:e>
                        <m:sub>
                          <m:r>
                            <m:rPr>
                              <m:sty m:val="bi"/>
                            </m:rPr>
                            <w:rPr>
                              <w:rFonts w:ascii="Cambria Math" w:hAnsi="Cambria Math" w:cs="Arial"/>
                              <w:sz w:val="22"/>
                              <w:szCs w:val="22"/>
                            </w:rPr>
                            <m:t>ij</m:t>
                          </m:r>
                        </m:sub>
                        <m:sup>
                          <m:r>
                            <m:rPr>
                              <m:sty m:val="bi"/>
                            </m:rPr>
                            <w:rPr>
                              <w:rFonts w:ascii="Cambria Math" w:hAnsi="Cambria Math" w:cs="Arial"/>
                              <w:sz w:val="22"/>
                              <w:szCs w:val="22"/>
                            </w:rPr>
                            <m:t>a</m:t>
                          </m:r>
                        </m:sup>
                      </m:sSubSup>
                    </m:e>
                  </m:d>
                  <m:ctrlPr>
                    <w:rPr>
                      <w:rFonts w:ascii="Cambria Math" w:hAnsi="Cambria Math" w:cs="Arial"/>
                      <w:b/>
                      <w:bCs/>
                      <w:i/>
                      <w:sz w:val="22"/>
                      <w:szCs w:val="22"/>
                    </w:rPr>
                  </m:ctrlPr>
                </m:e>
              </m:nary>
            </m:sub>
          </m:sSub>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γ</m:t>
              </m:r>
            </m:e>
            <m:sub>
              <m:r>
                <m:rPr>
                  <m:sty m:val="bi"/>
                </m:rPr>
                <w:rPr>
                  <w:rFonts w:ascii="Cambria Math" w:hAnsi="Cambria Math" w:cs="Arial"/>
                  <w:sz w:val="22"/>
                  <w:szCs w:val="22"/>
                </w:rPr>
                <m:t>2</m:t>
              </m:r>
            </m:sub>
          </m:sSub>
          <m:sSup>
            <m:sSupPr>
              <m:ctrlPr>
                <w:rPr>
                  <w:rFonts w:ascii="Cambria Math" w:hAnsi="Cambria Math" w:cs="Arial"/>
                  <w:b/>
                  <w:bCs/>
                  <w:i/>
                  <w:sz w:val="22"/>
                  <w:szCs w:val="22"/>
                </w:rPr>
              </m:ctrlPr>
            </m:sSupPr>
            <m:e>
              <m:r>
                <m:rPr>
                  <m:sty m:val="bi"/>
                </m:rPr>
                <w:rPr>
                  <w:rFonts w:ascii="Cambria Math" w:hAnsi="Cambria Math" w:cs="Arial"/>
                  <w:sz w:val="22"/>
                  <w:szCs w:val="22"/>
                </w:rPr>
                <m:t>H</m:t>
              </m:r>
            </m:e>
            <m:sup>
              <m:r>
                <m:rPr>
                  <m:sty m:val="bi"/>
                </m:rPr>
                <w:rPr>
                  <w:rFonts w:ascii="Cambria Math" w:hAnsi="Cambria Math" w:cs="Arial"/>
                  <w:sz w:val="22"/>
                  <w:szCs w:val="22"/>
                </w:rPr>
                <m:t>a</m:t>
              </m:r>
            </m:sup>
          </m:s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m:t>
              </m:r>
            </m:sup>
          </m:sSup>
          <m:r>
            <m:rPr>
              <m:sty m:val="bi"/>
            </m:rPr>
            <w:rPr>
              <w:rFonts w:ascii="Cambria Math" w:hAnsi="Cambria Math" w:cs="Arial"/>
              <w:sz w:val="22"/>
              <w:szCs w:val="22"/>
            </w:rPr>
            <m:t>-p</m:t>
          </m:r>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m:t>
              </m:r>
            </m:sup>
          </m:s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a-1</m:t>
              </m:r>
            </m:sup>
          </m:s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m:t>
              </m:r>
            </m:sup>
          </m:sSup>
          <m:r>
            <m:rPr>
              <m:sty m:val="bi"/>
            </m:rPr>
            <w:rPr>
              <w:rFonts w:ascii="Cambria Math" w:hAnsi="Cambria Math" w:cs="Arial"/>
              <w:sz w:val="22"/>
              <w:szCs w:val="22"/>
            </w:rPr>
            <m:t>,</m:t>
          </m:r>
        </m:oMath>
      </m:oMathPara>
    </w:p>
    <w:p w14:paraId="69E3460D"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m</m:t>
                  </m:r>
                </m:sup>
              </m:s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Λ</m:t>
              </m:r>
            </m:e>
            <m:sup>
              <m:r>
                <m:rPr>
                  <m:sty m:val="bi"/>
                </m:rPr>
                <w:rPr>
                  <w:rFonts w:ascii="Cambria Math" w:hAnsi="Cambria Math" w:cs="Arial"/>
                  <w:sz w:val="22"/>
                  <w:szCs w:val="22"/>
                </w:rPr>
                <m:t>m</m:t>
              </m:r>
            </m:sup>
          </m:sSup>
          <m:r>
            <m:rPr>
              <m:sty m:val="bi"/>
            </m:rPr>
            <w:rPr>
              <w:rFonts w:ascii="Cambria Math" w:hAnsi="Cambria Math" w:cs="Arial"/>
              <w:sz w:val="22"/>
              <w:szCs w:val="22"/>
            </w:rPr>
            <m:t>-</m:t>
          </m:r>
          <m:d>
            <m:dPr>
              <m:ctrlPr>
                <w:rPr>
                  <w:rFonts w:ascii="Cambria Math" w:hAnsi="Cambria Math" w:cs="Arial"/>
                  <w:b/>
                  <w:bCs/>
                  <w:i/>
                  <w:sz w:val="22"/>
                  <w:szCs w:val="22"/>
                </w:rPr>
              </m:ctrlPr>
            </m:dPr>
            <m:e>
              <m:nary>
                <m:naryPr>
                  <m:chr m:val="∑"/>
                  <m:ctrlPr>
                    <w:rPr>
                      <w:rFonts w:ascii="Cambria Math" w:hAnsi="Cambria Math" w:cs="Arial"/>
                      <w:b/>
                      <w:bCs/>
                      <w:sz w:val="22"/>
                      <w:szCs w:val="22"/>
                    </w:rPr>
                  </m:ctrlPr>
                </m:naryPr>
                <m:sub>
                  <m:r>
                    <m:rPr>
                      <m:sty m:val="bi"/>
                    </m:rPr>
                    <w:rPr>
                      <w:rFonts w:ascii="Cambria Math" w:hAnsi="Cambria Math" w:cs="Arial"/>
                      <w:sz w:val="22"/>
                      <w:szCs w:val="22"/>
                    </w:rPr>
                    <m:t>i=1</m:t>
                  </m:r>
                  <m:ctrlPr>
                    <w:rPr>
                      <w:rFonts w:ascii="Cambria Math" w:hAnsi="Cambria Math" w:cs="Arial"/>
                      <w:b/>
                      <w:bCs/>
                      <w:i/>
                      <w:sz w:val="22"/>
                      <w:szCs w:val="22"/>
                    </w:rPr>
                  </m:ctrlPr>
                </m:sub>
                <m:sup>
                  <m:r>
                    <m:rPr>
                      <m:sty m:val="bi"/>
                    </m:rPr>
                    <w:rPr>
                      <w:rFonts w:ascii="Cambria Math" w:hAnsi="Cambria Math" w:cs="Arial"/>
                      <w:sz w:val="22"/>
                      <w:szCs w:val="22"/>
                    </w:rPr>
                    <m:t>4</m:t>
                  </m:r>
                  <m:ctrlPr>
                    <w:rPr>
                      <w:rFonts w:ascii="Cambria Math" w:hAnsi="Cambria Math" w:cs="Arial"/>
                      <w:b/>
                      <w:bCs/>
                      <w:i/>
                      <w:sz w:val="22"/>
                      <w:szCs w:val="22"/>
                    </w:rPr>
                  </m:ctrlPr>
                </m:sup>
                <m:e>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i</m:t>
                      </m:r>
                    </m:sub>
                    <m:sup>
                      <m:r>
                        <m:rPr>
                          <m:sty m:val="bi"/>
                        </m:rPr>
                        <w:rPr>
                          <w:rFonts w:ascii="Cambria Math" w:hAnsi="Cambria Math" w:cs="Arial"/>
                          <w:sz w:val="22"/>
                          <w:szCs w:val="22"/>
                        </w:rPr>
                        <m:t>h</m:t>
                      </m:r>
                    </m:sup>
                  </m:sSubSup>
                </m:e>
              </m:nary>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m</m:t>
                  </m:r>
                </m:sup>
              </m:sSup>
            </m:e>
          </m:d>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m</m:t>
              </m:r>
            </m:sup>
          </m:sSup>
          <m:r>
            <m:rPr>
              <m:sty m:val="bi"/>
            </m:rPr>
            <w:rPr>
              <w:rFonts w:ascii="Cambria Math" w:hAnsi="Cambria Math" w:cs="Arial"/>
              <w:sz w:val="22"/>
              <w:szCs w:val="22"/>
            </w:rPr>
            <m:t>,</m:t>
          </m:r>
        </m:oMath>
      </m:oMathPara>
    </w:p>
    <w:p w14:paraId="4F034354"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E</m:t>
                  </m: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
                </m:rPr>
                <w:rPr>
                  <w:rFonts w:ascii="Cambria Math" w:hAnsi="Cambria Math" w:cs="Arial"/>
                  <w:sz w:val="22"/>
                  <w:szCs w:val="22"/>
                </w:rPr>
                <m:t>λ</m:t>
              </m:r>
            </m:e>
            <m:sub>
              <m:r>
                <m:rPr>
                  <m:sty m:val="bi"/>
                </m:rPr>
                <w:rPr>
                  <w:rFonts w:ascii="Cambria Math" w:hAnsi="Cambria Math" w:cs="Arial"/>
                  <w:sz w:val="22"/>
                  <w:szCs w:val="22"/>
                </w:rPr>
                <m:t>i</m:t>
              </m:r>
            </m:sub>
            <m:sup>
              <m:r>
                <m:rPr>
                  <m:sty m:val="bi"/>
                </m:rPr>
                <w:rPr>
                  <w:rFonts w:ascii="Cambria Math" w:hAnsi="Cambria Math" w:cs="Arial"/>
                  <w:sz w:val="22"/>
                  <w:szCs w:val="22"/>
                </w:rPr>
                <m:t>h</m:t>
              </m:r>
            </m:sup>
          </m:sSubSup>
          <m:r>
            <m:rPr>
              <m:sty m:val="bi"/>
            </m:rPr>
            <w:rPr>
              <w:rFonts w:ascii="Cambria Math" w:hAnsi="Cambria Math" w:cs="Arial"/>
              <w:sz w:val="22"/>
              <w:szCs w:val="22"/>
            </w:rPr>
            <m:t>-</m:t>
          </m:r>
          <m:d>
            <m:dPr>
              <m:ctrlPr>
                <w:rPr>
                  <w:rFonts w:ascii="Cambria Math" w:hAnsi="Cambria Math" w:cs="Arial"/>
                  <w:b/>
                  <w:bCs/>
                  <w:i/>
                  <w:sz w:val="22"/>
                  <w:szCs w:val="22"/>
                </w:rPr>
              </m:ctrlPr>
            </m:dPr>
            <m:e>
              <m:sSup>
                <m:sSupPr>
                  <m:ctrlPr>
                    <w:rPr>
                      <w:rFonts w:ascii="Cambria Math" w:hAnsi="Cambria Math" w:cs="Arial"/>
                      <w:b/>
                      <w:bCs/>
                      <w:i/>
                      <w:sz w:val="22"/>
                      <w:szCs w:val="22"/>
                    </w:rPr>
                  </m:ctrlPr>
                </m:sSupPr>
                <m:e>
                  <m:r>
                    <m:rPr>
                      <m:sty m:val="b"/>
                    </m:rPr>
                    <w:rPr>
                      <w:rFonts w:ascii="Cambria Math" w:hAnsi="Cambria Math" w:cs="Arial"/>
                      <w:sz w:val="22"/>
                      <w:szCs w:val="22"/>
                    </w:rPr>
                    <m:t>σ</m:t>
                  </m:r>
                </m:e>
                <m:sup>
                  <m:r>
                    <m:rPr>
                      <m:sty m:val="bi"/>
                    </m:rPr>
                    <w:rPr>
                      <w:rFonts w:ascii="Cambria Math" w:hAnsi="Cambria Math" w:cs="Arial"/>
                      <w:sz w:val="22"/>
                      <w:szCs w:val="22"/>
                    </w:rPr>
                    <m:t>m</m:t>
                  </m:r>
                </m:sup>
              </m:s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m</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E</m:t>
              </m: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r>
            <m:rPr>
              <m:sty m:val="bi"/>
            </m:rPr>
            <w:rPr>
              <w:rFonts w:ascii="Cambria Math" w:hAnsi="Cambria Math" w:cs="Arial"/>
              <w:sz w:val="22"/>
              <w:szCs w:val="22"/>
            </w:rPr>
            <m:t>,</m:t>
          </m:r>
        </m:oMath>
      </m:oMathPara>
    </w:p>
    <w:p w14:paraId="4B3AC8DA"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σ</m:t>
              </m:r>
            </m:e>
            <m:sup>
              <m:r>
                <m:rPr>
                  <m:sty m:val="bi"/>
                </m:rPr>
                <w:rPr>
                  <w:rFonts w:ascii="Cambria Math" w:hAnsi="Cambria Math" w:cs="Arial"/>
                  <w:sz w:val="22"/>
                  <w:szCs w:val="22"/>
                </w:rPr>
                <m:t>m</m:t>
              </m:r>
            </m:sup>
          </m:sSup>
          <m:sSubSup>
            <m:sSubSupPr>
              <m:ctrlPr>
                <w:rPr>
                  <w:rFonts w:ascii="Cambria Math" w:hAnsi="Cambria Math" w:cs="Arial"/>
                  <w:b/>
                  <w:bCs/>
                  <w:i/>
                  <w:sz w:val="22"/>
                  <w:szCs w:val="22"/>
                </w:rPr>
              </m:ctrlPr>
            </m:sSubSupPr>
            <m:e>
              <m:r>
                <m:rPr>
                  <m:sty m:val="bi"/>
                </m:rPr>
                <w:rPr>
                  <w:rFonts w:ascii="Cambria Math" w:hAnsi="Cambria Math" w:cs="Arial"/>
                  <w:sz w:val="22"/>
                  <w:szCs w:val="22"/>
                </w:rPr>
                <m:t>E</m:t>
              </m: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m</m:t>
              </m:r>
            </m:sup>
          </m:sSup>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r>
            <m:rPr>
              <m:sty m:val="bi"/>
            </m:rPr>
            <w:rPr>
              <w:rFonts w:ascii="Cambria Math" w:hAnsi="Cambria Math" w:cs="Arial"/>
              <w:sz w:val="22"/>
              <w:szCs w:val="22"/>
            </w:rPr>
            <m:t>,</m:t>
          </m:r>
        </m:oMath>
      </m:oMathPara>
    </w:p>
    <w:p w14:paraId="29383D25"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=p</m:t>
          </m:r>
          <m:sSup>
            <m:sSupPr>
              <m:ctrlPr>
                <w:rPr>
                  <w:rFonts w:ascii="Cambria Math" w:hAnsi="Cambria Math" w:cs="Arial"/>
                  <w:b/>
                  <w:bCs/>
                  <w:i/>
                  <w:sz w:val="22"/>
                  <w:szCs w:val="22"/>
                </w:rPr>
              </m:ctrlPr>
            </m:sSupPr>
            <m:e>
              <m:r>
                <m:rPr>
                  <m:sty m:val="bi"/>
                </m:rPr>
                <w:rPr>
                  <w:rFonts w:ascii="Cambria Math" w:hAnsi="Cambria Math" w:cs="Arial"/>
                  <w:sz w:val="22"/>
                  <w:szCs w:val="22"/>
                </w:rPr>
                <m:t>S</m:t>
              </m:r>
            </m:e>
            <m:sup>
              <m:r>
                <m:rPr>
                  <m:sty m:val="bi"/>
                </m:rPr>
                <w:rPr>
                  <w:rFonts w:ascii="Cambria Math" w:hAnsi="Cambria Math" w:cs="Arial"/>
                  <w:sz w:val="22"/>
                  <w:szCs w:val="22"/>
                </w:rPr>
                <m:t>a</m:t>
              </m:r>
            </m:sup>
          </m:sSup>
          <m:r>
            <m:rPr>
              <m:sty m:val="bi"/>
            </m:rPr>
            <w:rPr>
              <w:rFonts w:ascii="Cambria Math" w:hAnsi="Cambria Math" w:cs="Arial"/>
              <w:sz w:val="22"/>
              <w:szCs w:val="22"/>
            </w:rPr>
            <m:t>-</m:t>
          </m:r>
          <m:d>
            <m:dPr>
              <m:ctrlPr>
                <w:rPr>
                  <w:rFonts w:ascii="Cambria Math" w:hAnsi="Cambria Math" w:cs="Arial"/>
                  <w:b/>
                  <w:bCs/>
                  <w:i/>
                  <w:sz w:val="22"/>
                  <w:szCs w:val="22"/>
                </w:rPr>
              </m:ctrlPr>
            </m:dPr>
            <m:e>
              <m:nary>
                <m:naryPr>
                  <m:chr m:val="∑"/>
                  <m:ctrlPr>
                    <w:rPr>
                      <w:rFonts w:ascii="Cambria Math" w:hAnsi="Cambria Math" w:cs="Arial"/>
                      <w:b/>
                      <w:bCs/>
                      <w:sz w:val="22"/>
                      <w:szCs w:val="22"/>
                    </w:rPr>
                  </m:ctrlPr>
                </m:naryPr>
                <m:sub>
                  <m:r>
                    <m:rPr>
                      <m:sty m:val="bi"/>
                    </m:rPr>
                    <w:rPr>
                      <w:rFonts w:ascii="Cambria Math" w:hAnsi="Cambria Math" w:cs="Arial"/>
                      <w:sz w:val="22"/>
                      <w:szCs w:val="22"/>
                    </w:rPr>
                    <m:t>i=1</m:t>
                  </m:r>
                  <m:ctrlPr>
                    <w:rPr>
                      <w:rFonts w:ascii="Cambria Math" w:hAnsi="Cambria Math" w:cs="Arial"/>
                      <w:b/>
                      <w:bCs/>
                      <w:i/>
                      <w:sz w:val="22"/>
                      <w:szCs w:val="22"/>
                    </w:rPr>
                  </m:ctrlPr>
                </m:sub>
                <m:sup>
                  <m:r>
                    <m:rPr>
                      <m:sty m:val="bi"/>
                    </m:rPr>
                    <w:rPr>
                      <w:rFonts w:ascii="Cambria Math" w:hAnsi="Cambria Math" w:cs="Arial"/>
                      <w:sz w:val="22"/>
                      <w:szCs w:val="22"/>
                    </w:rPr>
                    <m:t>4</m:t>
                  </m:r>
                  <m:ctrlPr>
                    <w:rPr>
                      <w:rFonts w:ascii="Cambria Math" w:hAnsi="Cambria Math" w:cs="Arial"/>
                      <w:b/>
                      <w:bCs/>
                      <w:i/>
                      <w:sz w:val="22"/>
                      <w:szCs w:val="22"/>
                    </w:rPr>
                  </m:ctrlPr>
                </m:sup>
                <m:e>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ia</m:t>
                          </m:r>
                        </m:sub>
                        <m:sup>
                          <m:r>
                            <m:rPr>
                              <m:nor/>
                            </m:rPr>
                            <w:rPr>
                              <w:rFonts w:ascii="Arial" w:hAnsi="Arial" w:cs="Arial"/>
                              <w:b/>
                              <w:bCs/>
                              <w:sz w:val="22"/>
                              <w:szCs w:val="22"/>
                            </w:rPr>
                            <m:t>inf-</m:t>
                          </m:r>
                        </m:sup>
                      </m:sSubSup>
                    </m:e>
                  </m:d>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ctrlPr>
                    <w:rPr>
                      <w:rFonts w:ascii="Cambria Math" w:hAnsi="Cambria Math" w:cs="Arial"/>
                      <w:b/>
                      <w:bCs/>
                      <w:i/>
                      <w:sz w:val="22"/>
                      <w:szCs w:val="22"/>
                    </w:rPr>
                  </m:ctrlPr>
                </m:e>
              </m:nary>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6D8E8822"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ρ</m:t>
              </m:r>
            </m:e>
            <m:sub>
              <m:r>
                <m:rPr>
                  <m:sty m:val="bi"/>
                </m:rPr>
                <w:rPr>
                  <w:rFonts w:ascii="Cambria Math" w:hAnsi="Cambria Math" w:cs="Arial"/>
                  <w:sz w:val="22"/>
                  <w:szCs w:val="22"/>
                </w:rPr>
                <m:t>1</m:t>
              </m:r>
            </m:sub>
          </m:sSub>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ia</m:t>
                  </m:r>
                </m:sub>
                <m:sup>
                  <m:r>
                    <m:rPr>
                      <m:nor/>
                    </m:rPr>
                    <w:rPr>
                      <w:rFonts w:ascii="Arial" w:hAnsi="Arial" w:cs="Arial"/>
                      <w:b/>
                      <w:bCs/>
                      <w:sz w:val="22"/>
                      <w:szCs w:val="22"/>
                    </w:rPr>
                    <m:t>symp-</m:t>
                  </m:r>
                </m:sup>
              </m:sSubSup>
            </m:e>
          </m:d>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ia</m:t>
                  </m:r>
                </m:sub>
                <m:sup>
                  <m:r>
                    <m:rPr>
                      <m:nor/>
                    </m:rPr>
                    <w:rPr>
                      <w:rFonts w:ascii="Arial" w:hAnsi="Arial" w:cs="Arial"/>
                      <w:b/>
                      <w:bCs/>
                      <w:sz w:val="22"/>
                      <w:szCs w:val="22"/>
                    </w:rPr>
                    <m:t>inf-</m:t>
                  </m:r>
                </m:sup>
              </m:sSubSup>
            </m:e>
          </m:d>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i</m:t>
              </m:r>
            </m:sub>
            <m:sup>
              <m:r>
                <m:rPr>
                  <m:sty m:val="bi"/>
                </m:rPr>
                <w:rPr>
                  <w:rFonts w:ascii="Cambria Math" w:hAnsi="Cambria Math" w:cs="Arial"/>
                  <w:sz w:val="22"/>
                  <w:szCs w:val="22"/>
                </w:rPr>
                <m:t>m</m:t>
              </m:r>
            </m:sup>
          </m:sSubSup>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1</m:t>
                  </m:r>
                </m:sub>
                <m:sup>
                  <m:r>
                    <m:rPr>
                      <m:sty m:val="bi"/>
                    </m:rPr>
                    <w:rPr>
                      <w:rFonts w:ascii="Cambria Math" w:hAnsi="Cambria Math" w:cs="Arial"/>
                      <w:sz w:val="22"/>
                      <w:szCs w:val="22"/>
                    </w:rPr>
                    <m:t>v</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1</m:t>
                  </m:r>
                </m:sub>
              </m:sSub>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ia</m:t>
                      </m:r>
                    </m:sub>
                    <m:sup>
                      <m:r>
                        <m:rPr>
                          <m:nor/>
                        </m:rPr>
                        <w:rPr>
                          <w:rFonts w:ascii="Arial" w:hAnsi="Arial" w:cs="Arial"/>
                          <w:b/>
                          <w:bCs/>
                          <w:sz w:val="22"/>
                          <w:szCs w:val="22"/>
                        </w:rPr>
                        <m:t>hosp-</m:t>
                      </m:r>
                    </m:sup>
                  </m:sSubSup>
                </m:e>
              </m:d>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10097C70" w14:textId="2DC3C778" w:rsidR="0066248A" w:rsidRPr="00804A38" w:rsidRDefault="0066248A" w:rsidP="0066248A">
      <w:pPr>
        <w:spacing w:line="360" w:lineRule="auto"/>
        <w:rPr>
          <w:rFonts w:ascii="Arial" w:eastAsia="Arial" w:hAnsi="Arial" w:cs="Arial"/>
          <w:b/>
          <w:bCs/>
          <w:sz w:val="22"/>
          <w:szCs w:val="22"/>
        </w:rPr>
      </w:pPr>
    </w:p>
    <w:p w14:paraId="56F7805F"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=p</m:t>
          </m:r>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1</m:t>
              </m:r>
            </m:sub>
            <m:sup>
              <m:r>
                <m:rPr>
                  <m:sty m:val="bi"/>
                </m:rPr>
                <w:rPr>
                  <w:rFonts w:ascii="Cambria Math" w:hAnsi="Cambria Math" w:cs="Arial"/>
                  <w:sz w:val="22"/>
                  <w:szCs w:val="22"/>
                </w:rPr>
                <m:t>v</m:t>
              </m:r>
            </m:sup>
          </m:sSubSup>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i"/>
                    </m:rPr>
                    <w:rPr>
                      <w:rFonts w:ascii="Cambria Math" w:hAnsi="Cambria Math" w:cs="Arial"/>
                      <w:sz w:val="22"/>
                      <w:szCs w:val="22"/>
                    </w:rPr>
                    <m:t>A</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e>
          </m:d>
          <m:r>
            <m:rPr>
              <m:sty m:val="bi"/>
            </m:rPr>
            <w:rPr>
              <w:rFonts w:ascii="Cambria Math" w:hAnsi="Cambria Math" w:cs="Arial"/>
              <w:sz w:val="22"/>
              <w:szCs w:val="22"/>
            </w:rPr>
            <m:t>-</m:t>
          </m:r>
          <m:d>
            <m:dPr>
              <m:ctrlPr>
                <w:rPr>
                  <w:rFonts w:ascii="Cambria Math" w:hAnsi="Cambria Math" w:cs="Arial"/>
                  <w:b/>
                  <w:bCs/>
                  <w:i/>
                  <w:sz w:val="22"/>
                  <w:szCs w:val="22"/>
                </w:rPr>
              </m:ctrlPr>
            </m:dPr>
            <m:e>
              <m:sSup>
                <m:sSupPr>
                  <m:ctrlPr>
                    <w:rPr>
                      <w:rFonts w:ascii="Cambria Math" w:hAnsi="Cambria Math" w:cs="Arial"/>
                      <w:b/>
                      <w:bCs/>
                      <w:i/>
                      <w:sz w:val="22"/>
                      <w:szCs w:val="22"/>
                    </w:rPr>
                  </m:ctrlPr>
                </m:sSupPr>
                <m:e>
                  <m:r>
                    <m:rPr>
                      <m:sty m:val="b"/>
                    </m:rPr>
                    <w:rPr>
                      <w:rFonts w:ascii="Cambria Math" w:hAnsi="Cambria Math" w:cs="Arial"/>
                      <w:sz w:val="22"/>
                      <w:szCs w:val="22"/>
                    </w:rPr>
                    <m:t>α</m:t>
                  </m:r>
                </m:e>
                <m:sup>
                  <m:r>
                    <m:rPr>
                      <m:sty m:val="bi"/>
                    </m:rPr>
                    <w:rPr>
                      <w:rFonts w:ascii="Cambria Math" w:hAnsi="Cambria Math" w:cs="Arial"/>
                      <w:sz w:val="22"/>
                      <w:szCs w:val="22"/>
                    </w:rPr>
                    <m:t>v</m:t>
                  </m:r>
                </m:sup>
              </m:s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vi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70049260"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=p</m:t>
          </m:r>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α</m:t>
              </m:r>
            </m:e>
            <m:sup>
              <m:r>
                <m:rPr>
                  <m:sty m:val="bi"/>
                </m:rPr>
                <w:rPr>
                  <w:rFonts w:ascii="Cambria Math" w:hAnsi="Cambria Math" w:cs="Arial"/>
                  <w:sz w:val="22"/>
                  <w:szCs w:val="22"/>
                </w:rPr>
                <m:t>v</m:t>
              </m:r>
            </m:sup>
          </m:sSup>
          <m:sSubSup>
            <m:sSubSupPr>
              <m:ctrlPr>
                <w:rPr>
                  <w:rFonts w:ascii="Cambria Math" w:hAnsi="Cambria Math" w:cs="Arial"/>
                  <w:b/>
                  <w:bCs/>
                  <w:i/>
                  <w:sz w:val="22"/>
                  <w:szCs w:val="22"/>
                </w:rPr>
              </m:ctrlPr>
            </m:sSubSupPr>
            <m:e>
              <m:r>
                <m:rPr>
                  <m:sty m:val="bi"/>
                </m:rPr>
                <w:rPr>
                  <w:rFonts w:ascii="Cambria Math" w:hAnsi="Cambria Math" w:cs="Arial"/>
                  <w:sz w:val="22"/>
                  <w:szCs w:val="22"/>
                </w:rPr>
                <m:t>C</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d>
            <m:dPr>
              <m:ctrlPr>
                <w:rPr>
                  <w:rFonts w:ascii="Cambria Math" w:hAnsi="Cambria Math" w:cs="Arial"/>
                  <w:b/>
                  <w:bCs/>
                  <w:i/>
                  <w:sz w:val="22"/>
                  <w:szCs w:val="22"/>
                </w:rPr>
              </m:ctrlPr>
            </m:dPr>
            <m:e>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j</m:t>
                  </m:r>
                  <m:r>
                    <m:rPr>
                      <m:sty m:val="b"/>
                    </m:rPr>
                    <w:rPr>
                      <w:rFonts w:ascii="Cambria Math" w:hAnsi="Cambria Math" w:cs="Arial"/>
                      <w:sz w:val="22"/>
                      <w:szCs w:val="22"/>
                    </w:rPr>
                    <m:t>≠</m:t>
                  </m:r>
                  <m:r>
                    <m:rPr>
                      <m:sty m:val="bi"/>
                    </m:rPr>
                    <w:rPr>
                      <w:rFonts w:ascii="Cambria Math" w:hAnsi="Cambria Math" w:cs="Arial"/>
                      <w:sz w:val="22"/>
                      <w:szCs w:val="22"/>
                    </w:rPr>
                    <m:t>i</m:t>
                  </m:r>
                  <m:ctrlPr>
                    <w:rPr>
                      <w:rFonts w:ascii="Cambria Math" w:hAnsi="Cambria Math" w:cs="Arial"/>
                      <w:b/>
                      <w:bCs/>
                      <w:i/>
                      <w:sz w:val="22"/>
                      <w:szCs w:val="22"/>
                    </w:rPr>
                  </m:ctrlPr>
                </m:sub>
                <m:sup>
                  <m:ctrlPr>
                    <w:rPr>
                      <w:rFonts w:ascii="Cambria Math" w:hAnsi="Cambria Math" w:cs="Arial"/>
                      <w:b/>
                      <w:bCs/>
                      <w:i/>
                      <w:sz w:val="22"/>
                      <w:szCs w:val="22"/>
                    </w:rPr>
                  </m:ctrlPr>
                </m:sup>
                <m:e>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nor/>
                            </m:rPr>
                            <w:rPr>
                              <w:rFonts w:ascii="Arial" w:hAnsi="Arial" w:cs="Arial"/>
                              <w:b/>
                              <w:bCs/>
                              <w:sz w:val="22"/>
                              <w:szCs w:val="22"/>
                            </w:rPr>
                            <m:t>inf+</m:t>
                          </m:r>
                        </m:sup>
                      </m:sSubSup>
                    </m:e>
                  </m:d>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j</m:t>
                      </m:r>
                    </m:sub>
                    <m:sup>
                      <m:r>
                        <m:rPr>
                          <m:sty m:val="bi"/>
                        </m:rPr>
                        <w:rPr>
                          <w:rFonts w:ascii="Cambria Math" w:hAnsi="Cambria Math" w:cs="Arial"/>
                          <w:sz w:val="22"/>
                          <w:szCs w:val="22"/>
                        </w:rPr>
                        <m:t>m</m:t>
                      </m:r>
                    </m:sup>
                  </m:sSubSup>
                  <m:ctrlPr>
                    <w:rPr>
                      <w:rFonts w:ascii="Cambria Math" w:hAnsi="Cambria Math" w:cs="Arial"/>
                      <w:b/>
                      <w:bCs/>
                      <w:i/>
                      <w:sz w:val="22"/>
                      <w:szCs w:val="22"/>
                    </w:rPr>
                  </m:ctrlPr>
                </m:e>
              </m:nary>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vi</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7A707338"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ρ</m:t>
              </m:r>
            </m:e>
            <m:sub>
              <m:r>
                <m:rPr>
                  <m:sty m:val="bi"/>
                </m:rPr>
                <w:rPr>
                  <w:rFonts w:ascii="Cambria Math" w:hAnsi="Cambria Math" w:cs="Arial"/>
                  <w:sz w:val="22"/>
                  <w:szCs w:val="22"/>
                </w:rPr>
                <m:t>2</m:t>
              </m:r>
            </m:sub>
          </m:sSub>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nor/>
                    </m:rPr>
                    <w:rPr>
                      <w:rFonts w:ascii="Arial" w:hAnsi="Arial" w:cs="Arial"/>
                      <w:b/>
                      <w:bCs/>
                      <w:sz w:val="22"/>
                      <w:szCs w:val="22"/>
                    </w:rPr>
                    <m:t>symp+</m:t>
                  </m:r>
                </m:sup>
              </m:sSubSup>
            </m:e>
          </m:d>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nor/>
                    </m:rPr>
                    <w:rPr>
                      <w:rFonts w:ascii="Arial" w:hAnsi="Arial" w:cs="Arial"/>
                      <w:b/>
                      <w:bCs/>
                      <w:sz w:val="22"/>
                      <w:szCs w:val="22"/>
                    </w:rPr>
                    <m:t>inf+</m:t>
                  </m:r>
                </m:sup>
              </m:sSubSup>
            </m:e>
          </m:d>
          <m:sSubSup>
            <m:sSubSupPr>
              <m:ctrlPr>
                <w:rPr>
                  <w:rFonts w:ascii="Cambria Math" w:hAnsi="Cambria Math" w:cs="Arial"/>
                  <w:b/>
                  <w:bCs/>
                  <w:i/>
                  <w:sz w:val="22"/>
                  <w:szCs w:val="22"/>
                </w:rPr>
              </m:ctrlPr>
            </m:sSubSupPr>
            <m:e>
              <m:r>
                <m:rPr>
                  <m:sty m:val="b"/>
                </m:rPr>
                <w:rPr>
                  <w:rFonts w:ascii="Cambria Math" w:hAnsi="Cambria Math" w:cs="Arial"/>
                  <w:sz w:val="22"/>
                  <w:szCs w:val="22"/>
                </w:rPr>
                <m:t>λ</m:t>
              </m:r>
              <m:ctrlPr>
                <w:rPr>
                  <w:rFonts w:ascii="Cambria Math" w:hAnsi="Cambria Math" w:cs="Arial"/>
                  <w:b/>
                  <w:bCs/>
                  <w:sz w:val="22"/>
                  <w:szCs w:val="22"/>
                </w:rPr>
              </m:ctrlPr>
            </m:e>
            <m:sub>
              <m:r>
                <m:rPr>
                  <m:sty m:val="bi"/>
                </m:rPr>
                <w:rPr>
                  <w:rFonts w:ascii="Cambria Math" w:hAnsi="Cambria Math" w:cs="Arial"/>
                  <w:sz w:val="22"/>
                  <w:szCs w:val="22"/>
                </w:rPr>
                <m:t>j</m:t>
              </m:r>
            </m:sub>
            <m:sup>
              <m:r>
                <m:rPr>
                  <m:sty m:val="bi"/>
                </m:rPr>
                <w:rPr>
                  <w:rFonts w:ascii="Cambria Math" w:hAnsi="Cambria Math" w:cs="Arial"/>
                  <w:sz w:val="22"/>
                  <w:szCs w:val="22"/>
                </w:rPr>
                <m:t>m</m:t>
              </m:r>
            </m:sup>
          </m:sSubSup>
          <m:sSubSup>
            <m:sSubSupPr>
              <m:ctrlPr>
                <w:rPr>
                  <w:rFonts w:ascii="Cambria Math" w:hAnsi="Cambria Math" w:cs="Arial"/>
                  <w:b/>
                  <w:bCs/>
                  <w:i/>
                  <w:sz w:val="22"/>
                  <w:szCs w:val="22"/>
                </w:rPr>
              </m:ctrlPr>
            </m:sSubSupPr>
            <m:e>
              <m:r>
                <m:rPr>
                  <m:sty m:val="bi"/>
                </m:rPr>
                <w:rPr>
                  <w:rFonts w:ascii="Cambria Math" w:hAnsi="Cambria Math" w:cs="Arial"/>
                  <w:sz w:val="22"/>
                  <w:szCs w:val="22"/>
                </w:rPr>
                <m:t>S</m:t>
              </m:r>
            </m:e>
            <m:sub>
              <m:r>
                <m:rPr>
                  <m:sty m:val="bi"/>
                </m:rPr>
                <w:rPr>
                  <w:rFonts w:ascii="Cambria Math" w:hAnsi="Cambria Math" w:cs="Arial"/>
                  <w:sz w:val="22"/>
                  <w:szCs w:val="22"/>
                </w:rPr>
                <m:t>vi</m:t>
              </m:r>
            </m:sub>
            <m:sup>
              <m:r>
                <m:rPr>
                  <m:sty m:val="bi"/>
                </m:rPr>
                <w:rPr>
                  <w:rFonts w:ascii="Cambria Math" w:hAnsi="Cambria Math" w:cs="Arial"/>
                  <w:sz w:val="22"/>
                  <w:szCs w:val="22"/>
                </w:rPr>
                <m:t>a</m:t>
              </m:r>
            </m:sup>
          </m:sSubSup>
          <m:r>
            <m:rPr>
              <m:sty m:val="bi"/>
            </m:rPr>
            <w:rPr>
              <w:rFonts w:ascii="Cambria Math" w:hAnsi="Cambria Math" w:cs="Arial"/>
              <w:sz w:val="22"/>
              <w:szCs w:val="22"/>
            </w:rPr>
            <m:t>-</m:t>
          </m:r>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2</m:t>
                  </m:r>
                </m:sub>
                <m:sup>
                  <m:r>
                    <m:rPr>
                      <m:sty m:val="bi"/>
                    </m:rPr>
                    <w:rPr>
                      <w:rFonts w:ascii="Cambria Math" w:hAnsi="Cambria Math" w:cs="Arial"/>
                      <w:sz w:val="22"/>
                      <w:szCs w:val="22"/>
                    </w:rPr>
                    <m:t>v</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2</m:t>
                  </m:r>
                </m:sub>
              </m:sSub>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sty m:val="bi"/>
                        </m:rPr>
                        <w:rPr>
                          <w:rFonts w:ascii="Cambria Math" w:hAnsi="Cambria Math" w:cs="Arial"/>
                          <w:sz w:val="22"/>
                          <w:szCs w:val="22"/>
                        </w:rPr>
                        <m:t>hosp+</m:t>
                      </m:r>
                    </m:sup>
                  </m:sSubSup>
                </m:e>
              </m:d>
              <m:r>
                <m:rPr>
                  <m:sty m:val="bi"/>
                </m:rPr>
                <w:rPr>
                  <w:rFonts w:ascii="Cambria Math" w:hAnsi="Cambria Math" w:cs="Arial"/>
                  <w:sz w:val="22"/>
                  <w:szCs w:val="22"/>
                </w:rPr>
                <m:t>&amp;+&amp;</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47011F68" w14:textId="4AC81EB6" w:rsidR="0066248A" w:rsidRPr="00804A38" w:rsidRDefault="0066248A" w:rsidP="0066248A">
      <w:pPr>
        <w:spacing w:line="360" w:lineRule="auto"/>
        <w:rPr>
          <w:rFonts w:ascii="Arial" w:eastAsia="Arial" w:hAnsi="Arial" w:cs="Arial"/>
          <w:b/>
          <w:bCs/>
          <w:sz w:val="22"/>
          <w:szCs w:val="22"/>
        </w:rPr>
      </w:pPr>
    </w:p>
    <w:p w14:paraId="111EC08F"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H</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1</m:t>
              </m:r>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j</m:t>
                  </m:r>
                  <m:ctrlPr>
                    <w:rPr>
                      <w:rFonts w:ascii="Cambria Math" w:hAnsi="Cambria Math" w:cs="Arial"/>
                      <w:b/>
                      <w:bCs/>
                      <w:i/>
                      <w:sz w:val="22"/>
                      <w:szCs w:val="22"/>
                    </w:rPr>
                  </m:ctrlPr>
                </m:sub>
                <m:sup>
                  <m:ctrlPr>
                    <w:rPr>
                      <w:rFonts w:ascii="Cambria Math" w:hAnsi="Cambria Math" w:cs="Arial"/>
                      <w:b/>
                      <w:bCs/>
                      <w:i/>
                      <w:sz w:val="22"/>
                      <w:szCs w:val="22"/>
                    </w:rPr>
                  </m:ctrlPr>
                </m:sup>
                <m:e>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sty m:val="bi"/>
                            </m:rPr>
                            <w:rPr>
                              <w:rFonts w:ascii="Cambria Math" w:hAnsi="Cambria Math" w:cs="Arial"/>
                              <w:sz w:val="22"/>
                              <w:szCs w:val="22"/>
                            </w:rPr>
                            <m:t>hosp-</m:t>
                          </m:r>
                        </m:sup>
                      </m:sSub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vj</m:t>
                      </m:r>
                    </m:sub>
                    <m:sup>
                      <m:r>
                        <m:rPr>
                          <m:sty m:val="bi"/>
                        </m:rPr>
                        <w:rPr>
                          <w:rFonts w:ascii="Cambria Math" w:hAnsi="Cambria Math" w:cs="Arial"/>
                          <w:sz w:val="22"/>
                          <w:szCs w:val="22"/>
                        </w:rPr>
                        <m:t>a</m:t>
                      </m:r>
                    </m:sup>
                  </m:sSubSup>
                  <m:ctrlPr>
                    <w:rPr>
                      <w:rFonts w:ascii="Cambria Math" w:hAnsi="Cambria Math" w:cs="Arial"/>
                      <w:b/>
                      <w:bCs/>
                      <w:i/>
                      <w:sz w:val="22"/>
                      <w:szCs w:val="22"/>
                    </w:rPr>
                  </m:ctrlPr>
                </m:e>
              </m:nary>
            </m:sub>
          </m:sSub>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
                </m:rPr>
                <w:rPr>
                  <w:rFonts w:ascii="Cambria Math" w:hAnsi="Cambria Math" w:cs="Arial"/>
                  <w:sz w:val="22"/>
                  <w:szCs w:val="22"/>
                </w:rPr>
                <m:t>ξ</m:t>
              </m:r>
            </m:e>
            <m:sub>
              <m:r>
                <m:rPr>
                  <m:sty m:val="bi"/>
                </m:rPr>
                <w:rPr>
                  <w:rFonts w:ascii="Cambria Math" w:hAnsi="Cambria Math" w:cs="Arial"/>
                  <w:sz w:val="22"/>
                  <w:szCs w:val="22"/>
                </w:rPr>
                <m:t>2</m:t>
              </m:r>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i,j</m:t>
                  </m:r>
                  <m:ctrlPr>
                    <w:rPr>
                      <w:rFonts w:ascii="Cambria Math" w:hAnsi="Cambria Math" w:cs="Arial"/>
                      <w:b/>
                      <w:bCs/>
                      <w:i/>
                      <w:sz w:val="22"/>
                      <w:szCs w:val="22"/>
                    </w:rPr>
                  </m:ctrlPr>
                </m:sub>
                <m:sup>
                  <m:ctrlPr>
                    <w:rPr>
                      <w:rFonts w:ascii="Cambria Math" w:hAnsi="Cambria Math" w:cs="Arial"/>
                      <w:b/>
                      <w:bCs/>
                      <w:i/>
                      <w:sz w:val="22"/>
                      <w:szCs w:val="22"/>
                    </w:rPr>
                  </m:ctrlPr>
                </m:sup>
                <m:e>
                  <m:d>
                    <m:dPr>
                      <m:ctrlPr>
                        <w:rPr>
                          <w:rFonts w:ascii="Cambria Math" w:hAnsi="Cambria Math" w:cs="Arial"/>
                          <w:b/>
                          <w:bCs/>
                          <w:i/>
                          <w:sz w:val="22"/>
                          <w:szCs w:val="22"/>
                        </w:rPr>
                      </m:ctrlPr>
                    </m:dPr>
                    <m:e>
                      <m:r>
                        <m:rPr>
                          <m:sty m:val="bi"/>
                        </m:rPr>
                        <w:rPr>
                          <w:rFonts w:ascii="Cambria Math" w:hAnsi="Cambria Math" w:cs="Arial"/>
                          <w:sz w:val="22"/>
                          <w:szCs w:val="22"/>
                        </w:rPr>
                        <m:t>1-</m:t>
                      </m:r>
                      <m:sSubSup>
                        <m:sSubSupPr>
                          <m:ctrlPr>
                            <w:rPr>
                              <w:rFonts w:ascii="Cambria Math" w:hAnsi="Cambria Math" w:cs="Arial"/>
                              <w:b/>
                              <w:bCs/>
                              <w:i/>
                              <w:sz w:val="22"/>
                              <w:szCs w:val="22"/>
                            </w:rPr>
                          </m:ctrlPr>
                        </m:sSubSupPr>
                        <m:e>
                          <m:r>
                            <m:rPr>
                              <m:sty m:val="b"/>
                            </m:rPr>
                            <w:rPr>
                              <w:rFonts w:ascii="Cambria Math" w:hAnsi="Cambria Math" w:cs="Arial"/>
                              <w:sz w:val="22"/>
                              <w:szCs w:val="22"/>
                            </w:rPr>
                            <m:t>ϵ</m:t>
                          </m:r>
                        </m:e>
                        <m:sub>
                          <m:r>
                            <m:rPr>
                              <m:sty m:val="bi"/>
                            </m:rPr>
                            <w:rPr>
                              <w:rFonts w:ascii="Cambria Math" w:hAnsi="Cambria Math" w:cs="Arial"/>
                              <w:sz w:val="22"/>
                              <w:szCs w:val="22"/>
                            </w:rPr>
                            <m:t>ja</m:t>
                          </m:r>
                        </m:sub>
                        <m:sup>
                          <m:r>
                            <m:rPr>
                              <m:sty m:val="bi"/>
                            </m:rPr>
                            <w:rPr>
                              <w:rFonts w:ascii="Cambria Math" w:hAnsi="Cambria Math" w:cs="Arial"/>
                              <w:sz w:val="22"/>
                              <w:szCs w:val="22"/>
                            </w:rPr>
                            <m:t>hosp+</m:t>
                          </m:r>
                        </m:sup>
                      </m:sSubSup>
                    </m:e>
                  </m:d>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ctrlPr>
                    <w:rPr>
                      <w:rFonts w:ascii="Cambria Math" w:hAnsi="Cambria Math" w:cs="Arial"/>
                      <w:b/>
                      <w:bCs/>
                      <w:i/>
                      <w:sz w:val="22"/>
                      <w:szCs w:val="22"/>
                    </w:rPr>
                  </m:ctrlPr>
                </m:e>
              </m:nary>
            </m:sub>
          </m:sSub>
          <m:r>
            <m:rPr>
              <m:sty m:val="bi"/>
            </m:rPr>
            <w:rPr>
              <w:rFonts w:ascii="Cambria Math" w:hAnsi="Cambria Math" w:cs="Arial"/>
              <w:sz w:val="22"/>
              <w:szCs w:val="22"/>
            </w:rPr>
            <m:t>-</m:t>
          </m:r>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2</m:t>
                  </m:r>
                </m:sub>
                <m:sup>
                  <m:r>
                    <m:rPr>
                      <m:sty m:val="bi"/>
                    </m:rPr>
                    <w:rPr>
                      <w:rFonts w:ascii="Cambria Math" w:hAnsi="Cambria Math" w:cs="Arial"/>
                      <w:sz w:val="22"/>
                      <w:szCs w:val="22"/>
                    </w:rPr>
                    <m:t>v</m:t>
                  </m:r>
                </m:sup>
              </m:sSub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e>
          </m:d>
          <m:sSubSup>
            <m:sSubSupPr>
              <m:ctrlPr>
                <w:rPr>
                  <w:rFonts w:ascii="Cambria Math" w:hAnsi="Cambria Math" w:cs="Arial"/>
                  <w:b/>
                  <w:bCs/>
                  <w:i/>
                  <w:sz w:val="22"/>
                  <w:szCs w:val="22"/>
                </w:rPr>
              </m:ctrlPr>
            </m:sSubSupPr>
            <m:e>
              <m:r>
                <m:rPr>
                  <m:sty m:val="bi"/>
                </m:rPr>
                <w:rPr>
                  <w:rFonts w:ascii="Cambria Math" w:hAnsi="Cambria Math" w:cs="Arial"/>
                  <w:sz w:val="22"/>
                  <w:szCs w:val="22"/>
                </w:rPr>
                <m:t>H</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H</m:t>
              </m:r>
            </m:e>
            <m:sub>
              <m:r>
                <m:rPr>
                  <m:sty m:val="bi"/>
                </m:rPr>
                <w:rPr>
                  <w:rFonts w:ascii="Cambria Math" w:hAnsi="Cambria Math" w:cs="Arial"/>
                  <w:sz w:val="22"/>
                  <w:szCs w:val="22"/>
                </w:rPr>
                <m:t>v</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H</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63CDF761" w14:textId="77777777" w:rsidR="0066248A" w:rsidRPr="00804A38" w:rsidRDefault="0066248A" w:rsidP="0066248A">
      <w:pPr>
        <w:spacing w:line="360" w:lineRule="auto"/>
        <w:rPr>
          <w:rFonts w:ascii="Cambria Math" w:eastAsia="Arial" w:hAnsi="Cambria Math" w:cs="Arial"/>
          <w:sz w:val="22"/>
          <w:szCs w:val="22"/>
          <w:oMath/>
        </w:rPr>
      </w:pPr>
    </w:p>
    <w:p w14:paraId="6F981E60" w14:textId="77777777" w:rsidR="0066248A" w:rsidRPr="00804A38" w:rsidRDefault="00000000" w:rsidP="0066248A">
      <w:pPr>
        <w:spacing w:line="360" w:lineRule="auto"/>
        <w:rPr>
          <w:rFonts w:ascii="Arial" w:eastAsia="Arial" w:hAnsi="Arial" w:cs="Arial"/>
          <w:b/>
          <w:bCs/>
          <w:sz w:val="22"/>
          <w:szCs w:val="22"/>
        </w:rPr>
      </w:pPr>
      <m:oMathPara>
        <m:oMathParaPr>
          <m:jc m:val="left"/>
        </m:oMathParaPr>
        <m:oMath>
          <m:f>
            <m:fPr>
              <m:ctrlPr>
                <w:rPr>
                  <w:rFonts w:ascii="Cambria Math" w:hAnsi="Cambria Math" w:cs="Arial"/>
                  <w:b/>
                  <w:bCs/>
                  <w:sz w:val="22"/>
                  <w:szCs w:val="22"/>
                </w:rPr>
              </m:ctrlPr>
            </m:fPr>
            <m:num>
              <m:r>
                <m:rPr>
                  <m:sty m:val="bi"/>
                </m:rPr>
                <w:rPr>
                  <w:rFonts w:ascii="Cambria Math" w:hAnsi="Cambria Math" w:cs="Arial"/>
                  <w:sz w:val="22"/>
                  <w:szCs w:val="22"/>
                </w:rPr>
                <m:t>d</m:t>
              </m:r>
              <m:sSubSup>
                <m:sSubSupPr>
                  <m:ctrlPr>
                    <w:rPr>
                      <w:rFonts w:ascii="Cambria Math" w:hAnsi="Cambria Math" w:cs="Arial"/>
                      <w:b/>
                      <w:bCs/>
                      <w:i/>
                      <w:sz w:val="22"/>
                      <w:szCs w:val="22"/>
                    </w:rPr>
                  </m:ctrlPr>
                </m:sSubSupPr>
                <m:e>
                  <m:r>
                    <m:rPr>
                      <m:sty m:val="bi"/>
                    </m:rPr>
                    <w:rPr>
                      <w:rFonts w:ascii="Cambria Math" w:hAnsi="Cambria Math" w:cs="Arial"/>
                      <w:sz w:val="22"/>
                      <w:szCs w:val="22"/>
                    </w:rPr>
                    <m:t>R</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ctrlPr>
                <w:rPr>
                  <w:rFonts w:ascii="Cambria Math" w:hAnsi="Cambria Math" w:cs="Arial"/>
                  <w:b/>
                  <w:bCs/>
                  <w:i/>
                  <w:sz w:val="22"/>
                  <w:szCs w:val="22"/>
                </w:rPr>
              </m:ctrlPr>
            </m:num>
            <m:den>
              <m:r>
                <m:rPr>
                  <m:sty m:val="bi"/>
                </m:rPr>
                <w:rPr>
                  <w:rFonts w:ascii="Cambria Math" w:hAnsi="Cambria Math" w:cs="Arial"/>
                  <w:sz w:val="22"/>
                  <w:szCs w:val="22"/>
                </w:rPr>
                <m:t>dt</m:t>
              </m:r>
              <m:ctrlPr>
                <w:rPr>
                  <w:rFonts w:ascii="Cambria Math" w:hAnsi="Cambria Math" w:cs="Arial"/>
                  <w:b/>
                  <w:bCs/>
                  <w:i/>
                  <w:sz w:val="22"/>
                  <w:szCs w:val="22"/>
                </w:rPr>
              </m:ctrlPr>
            </m:den>
          </m:f>
          <m:r>
            <m:rPr>
              <m:sty m:val="bi"/>
            </m:rPr>
            <w:rPr>
              <w:rFonts w:ascii="Cambria Math" w:hAnsi="Cambria Math" w:cs="Arial"/>
              <w:sz w:val="22"/>
              <w:szCs w:val="22"/>
            </w:rPr>
            <m:t>=p</m:t>
          </m:r>
          <m:sSup>
            <m:sSupPr>
              <m:ctrlPr>
                <w:rPr>
                  <w:rFonts w:ascii="Cambria Math" w:hAnsi="Cambria Math" w:cs="Arial"/>
                  <w:b/>
                  <w:bCs/>
                  <w:i/>
                  <w:sz w:val="22"/>
                  <w:szCs w:val="22"/>
                </w:rPr>
              </m:ctrlPr>
            </m:sSupPr>
            <m:e>
              <m:r>
                <m:rPr>
                  <m:sty m:val="bi"/>
                </m:rPr>
                <w:rPr>
                  <w:rFonts w:ascii="Cambria Math" w:hAnsi="Cambria Math" w:cs="Arial"/>
                  <w:sz w:val="22"/>
                  <w:szCs w:val="22"/>
                </w:rPr>
                <m:t>R</m:t>
              </m:r>
            </m:e>
            <m:sup>
              <m:r>
                <m:rPr>
                  <m:sty m:val="bi"/>
                </m:rPr>
                <w:rPr>
                  <w:rFonts w:ascii="Cambria Math" w:hAnsi="Cambria Math" w:cs="Arial"/>
                  <w:sz w:val="22"/>
                  <w:szCs w:val="22"/>
                </w:rPr>
                <m:t>a</m:t>
              </m:r>
            </m:sup>
          </m:s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2</m:t>
              </m:r>
            </m:sub>
            <m:sup>
              <m:r>
                <m:rPr>
                  <m:sty m:val="bi"/>
                </m:rPr>
                <w:rPr>
                  <w:rFonts w:ascii="Cambria Math" w:hAnsi="Cambria Math" w:cs="Arial"/>
                  <w:sz w:val="22"/>
                  <w:szCs w:val="22"/>
                </w:rPr>
                <m:t>v</m:t>
              </m:r>
              <m:nary>
                <m:naryPr>
                  <m:chr m:val="∑"/>
                  <m:supHide m:val="1"/>
                  <m:ctrlPr>
                    <w:rPr>
                      <w:rFonts w:ascii="Cambria Math" w:hAnsi="Cambria Math" w:cs="Arial"/>
                      <w:b/>
                      <w:bCs/>
                      <w:sz w:val="22"/>
                      <w:szCs w:val="22"/>
                    </w:rPr>
                  </m:ctrlPr>
                </m:naryPr>
                <m:sub>
                  <m:r>
                    <m:rPr>
                      <m:sty m:val="bi"/>
                    </m:rPr>
                    <w:rPr>
                      <w:rFonts w:ascii="Cambria Math" w:hAnsi="Cambria Math" w:cs="Arial"/>
                      <w:sz w:val="22"/>
                      <w:szCs w:val="22"/>
                    </w:rPr>
                    <m:t>i,j</m:t>
                  </m:r>
                  <m:ctrlPr>
                    <w:rPr>
                      <w:rFonts w:ascii="Cambria Math" w:hAnsi="Cambria Math" w:cs="Arial"/>
                      <w:b/>
                      <w:bCs/>
                      <w:i/>
                      <w:sz w:val="22"/>
                      <w:szCs w:val="22"/>
                    </w:rPr>
                  </m:ctrlPr>
                </m:sub>
                <m:sup>
                  <m:ctrlPr>
                    <w:rPr>
                      <w:rFonts w:ascii="Cambria Math" w:hAnsi="Cambria Math" w:cs="Arial"/>
                      <w:b/>
                      <w:bCs/>
                      <w:i/>
                      <w:sz w:val="22"/>
                      <w:szCs w:val="22"/>
                    </w:rPr>
                  </m:ctrlPr>
                </m:sup>
                <m:e>
                  <m:d>
                    <m:dPr>
                      <m:ctrlPr>
                        <w:rPr>
                          <w:rFonts w:ascii="Cambria Math" w:hAnsi="Cambria Math" w:cs="Arial"/>
                          <w:b/>
                          <w:bCs/>
                          <w:i/>
                          <w:sz w:val="22"/>
                          <w:szCs w:val="22"/>
                        </w:rPr>
                      </m:ctrlPr>
                    </m:dPr>
                    <m:e>
                      <m:sSubSup>
                        <m:sSubSupPr>
                          <m:ctrlPr>
                            <w:rPr>
                              <w:rFonts w:ascii="Cambria Math" w:hAnsi="Cambria Math" w:cs="Arial"/>
                              <w:b/>
                              <w:bCs/>
                              <w:i/>
                              <w:sz w:val="22"/>
                              <w:szCs w:val="22"/>
                            </w:rPr>
                          </m:ctrlPr>
                        </m:sSubSupPr>
                        <m:e>
                          <m:r>
                            <m:rPr>
                              <m:sty m:val="bi"/>
                            </m:rPr>
                            <w:rPr>
                              <w:rFonts w:ascii="Cambria Math" w:hAnsi="Cambria Math" w:cs="Arial"/>
                              <w:sz w:val="22"/>
                              <w:szCs w:val="22"/>
                            </w:rPr>
                            <m:t>I</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i"/>
                            </m:rPr>
                            <w:rPr>
                              <w:rFonts w:ascii="Cambria Math" w:hAnsi="Cambria Math" w:cs="Arial"/>
                              <w:sz w:val="22"/>
                              <w:szCs w:val="22"/>
                            </w:rPr>
                            <m:t>A</m:t>
                          </m:r>
                        </m:e>
                        <m:sub>
                          <m:r>
                            <m:rPr>
                              <m:sty m:val="bi"/>
                            </m:rPr>
                            <w:rPr>
                              <w:rFonts w:ascii="Cambria Math" w:hAnsi="Cambria Math" w:cs="Arial"/>
                              <w:sz w:val="22"/>
                              <w:szCs w:val="22"/>
                            </w:rPr>
                            <m:t>vij</m:t>
                          </m:r>
                        </m:sub>
                        <m:sup>
                          <m:r>
                            <m:rPr>
                              <m:sty m:val="bi"/>
                            </m:rPr>
                            <w:rPr>
                              <w:rFonts w:ascii="Cambria Math" w:hAnsi="Cambria Math" w:cs="Arial"/>
                              <w:sz w:val="22"/>
                              <w:szCs w:val="22"/>
                            </w:rPr>
                            <m:t>a</m:t>
                          </m:r>
                        </m:sup>
                      </m:sSubSup>
                    </m:e>
                  </m:d>
                  <m:ctrlPr>
                    <w:rPr>
                      <w:rFonts w:ascii="Cambria Math" w:hAnsi="Cambria Math" w:cs="Arial"/>
                      <w:b/>
                      <w:bCs/>
                      <w:i/>
                      <w:sz w:val="22"/>
                      <w:szCs w:val="22"/>
                    </w:rPr>
                  </m:ctrlPr>
                </m:e>
              </m:nary>
            </m:sup>
          </m:sSubSup>
          <m:r>
            <m:rPr>
              <m:sty m:val="bi"/>
            </m:rPr>
            <w:rPr>
              <w:rFonts w:ascii="Cambria Math" w:hAnsi="Cambria Math" w:cs="Arial"/>
              <w:sz w:val="22"/>
              <w:szCs w:val="22"/>
            </w:rPr>
            <m:t>+</m:t>
          </m:r>
          <m:sSubSup>
            <m:sSubSupPr>
              <m:ctrlPr>
                <w:rPr>
                  <w:rFonts w:ascii="Cambria Math" w:hAnsi="Cambria Math" w:cs="Arial"/>
                  <w:b/>
                  <w:bCs/>
                  <w:i/>
                  <w:sz w:val="22"/>
                  <w:szCs w:val="22"/>
                </w:rPr>
              </m:ctrlPr>
            </m:sSubSupPr>
            <m:e>
              <m:r>
                <m:rPr>
                  <m:sty m:val="b"/>
                </m:rPr>
                <w:rPr>
                  <w:rFonts w:ascii="Cambria Math" w:hAnsi="Cambria Math" w:cs="Arial"/>
                  <w:sz w:val="22"/>
                  <w:szCs w:val="22"/>
                </w:rPr>
                <m:t>γ</m:t>
              </m:r>
            </m:e>
            <m:sub>
              <m:r>
                <m:rPr>
                  <m:sty m:val="bi"/>
                </m:rPr>
                <w:rPr>
                  <w:rFonts w:ascii="Cambria Math" w:hAnsi="Cambria Math" w:cs="Arial"/>
                  <w:sz w:val="22"/>
                  <w:szCs w:val="22"/>
                </w:rPr>
                <m:t>2</m:t>
              </m:r>
            </m:sub>
            <m:sup>
              <m:r>
                <m:rPr>
                  <m:sty m:val="bi"/>
                </m:rPr>
                <w:rPr>
                  <w:rFonts w:ascii="Cambria Math" w:hAnsi="Cambria Math" w:cs="Arial"/>
                  <w:sz w:val="22"/>
                  <w:szCs w:val="22"/>
                </w:rPr>
                <m:t>v</m:t>
              </m:r>
            </m:sup>
          </m:sSubSup>
          <m:sSubSup>
            <m:sSubSupPr>
              <m:ctrlPr>
                <w:rPr>
                  <w:rFonts w:ascii="Cambria Math" w:hAnsi="Cambria Math" w:cs="Arial"/>
                  <w:b/>
                  <w:bCs/>
                  <w:i/>
                  <w:sz w:val="22"/>
                  <w:szCs w:val="22"/>
                </w:rPr>
              </m:ctrlPr>
            </m:sSubSupPr>
            <m:e>
              <m:r>
                <m:rPr>
                  <m:sty m:val="bi"/>
                </m:rPr>
                <w:rPr>
                  <w:rFonts w:ascii="Cambria Math" w:hAnsi="Cambria Math" w:cs="Arial"/>
                  <w:sz w:val="22"/>
                  <w:szCs w:val="22"/>
                </w:rPr>
                <m:t>H</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sSup>
            <m:sSupPr>
              <m:ctrlPr>
                <w:rPr>
                  <w:rFonts w:ascii="Cambria Math" w:hAnsi="Cambria Math" w:cs="Arial"/>
                  <w:b/>
                  <w:bCs/>
                  <w:i/>
                  <w:sz w:val="22"/>
                  <w:szCs w:val="22"/>
                </w:rPr>
              </m:ctrlPr>
            </m:sSupPr>
            <m:e>
              <m:r>
                <m:rPr>
                  <m:sty m:val="b"/>
                </m:rPr>
                <w:rPr>
                  <w:rFonts w:ascii="Cambria Math" w:hAnsi="Cambria Math" w:cs="Arial"/>
                  <w:sz w:val="22"/>
                  <w:szCs w:val="22"/>
                </w:rPr>
                <m:t>μ</m:t>
              </m:r>
            </m:e>
            <m:sup>
              <m:r>
                <m:rPr>
                  <m:sty m:val="bi"/>
                </m:rPr>
                <w:rPr>
                  <w:rFonts w:ascii="Cambria Math" w:hAnsi="Cambria Math" w:cs="Arial"/>
                  <w:sz w:val="22"/>
                  <w:szCs w:val="22"/>
                </w:rPr>
                <m:t>ha</m:t>
              </m:r>
            </m:sup>
          </m:sSup>
          <m:sSubSup>
            <m:sSubSupPr>
              <m:ctrlPr>
                <w:rPr>
                  <w:rFonts w:ascii="Cambria Math" w:hAnsi="Cambria Math" w:cs="Arial"/>
                  <w:b/>
                  <w:bCs/>
                  <w:i/>
                  <w:sz w:val="22"/>
                  <w:szCs w:val="22"/>
                </w:rPr>
              </m:ctrlPr>
            </m:sSubSupPr>
            <m:e>
              <m:r>
                <m:rPr>
                  <m:sty m:val="bi"/>
                </m:rPr>
                <w:rPr>
                  <w:rFonts w:ascii="Cambria Math" w:hAnsi="Cambria Math" w:cs="Arial"/>
                  <w:sz w:val="22"/>
                  <w:szCs w:val="22"/>
                </w:rPr>
                <m:t>R</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R</m:t>
              </m:r>
            </m:e>
            <m:sub>
              <m:r>
                <m:rPr>
                  <m:sty m:val="bi"/>
                </m:rPr>
                <w:rPr>
                  <w:rFonts w:ascii="Cambria Math" w:hAnsi="Cambria Math" w:cs="Arial"/>
                  <w:sz w:val="22"/>
                  <w:szCs w:val="22"/>
                </w:rPr>
                <m:t>v</m:t>
              </m:r>
            </m:sub>
            <m:sup>
              <m:r>
                <m:rPr>
                  <m:sty m:val="bi"/>
                </m:rPr>
                <w:rPr>
                  <w:rFonts w:ascii="Cambria Math" w:hAnsi="Cambria Math" w:cs="Arial"/>
                  <w:sz w:val="22"/>
                  <w:szCs w:val="22"/>
                </w:rPr>
                <m:t>a-1</m:t>
              </m:r>
            </m:sup>
          </m:sSubSup>
          <m:r>
            <m:rPr>
              <m:sty m:val="bi"/>
            </m:rPr>
            <w:rPr>
              <w:rFonts w:ascii="Cambria Math" w:hAnsi="Cambria Math" w:cs="Arial"/>
              <w:sz w:val="22"/>
              <w:szCs w:val="22"/>
            </w:rPr>
            <m:t>-</m:t>
          </m:r>
          <m:sSub>
            <m:sSubPr>
              <m:ctrlPr>
                <w:rPr>
                  <w:rFonts w:ascii="Cambria Math" w:hAnsi="Cambria Math" w:cs="Arial"/>
                  <w:b/>
                  <w:bCs/>
                  <w:i/>
                  <w:sz w:val="22"/>
                  <w:szCs w:val="22"/>
                </w:rPr>
              </m:ctrlPr>
            </m:sSubPr>
            <m:e>
              <m:r>
                <m:rPr>
                  <m:sty m:val="bi"/>
                </m:rPr>
                <w:rPr>
                  <w:rFonts w:ascii="Cambria Math" w:hAnsi="Cambria Math" w:cs="Arial"/>
                  <w:sz w:val="22"/>
                  <w:szCs w:val="22"/>
                </w:rPr>
                <m:t>a</m:t>
              </m:r>
            </m:e>
            <m:sub>
              <m:r>
                <m:rPr>
                  <m:sty m:val="bi"/>
                </m:rPr>
                <w:rPr>
                  <w:rFonts w:ascii="Cambria Math" w:hAnsi="Cambria Math" w:cs="Arial"/>
                  <w:sz w:val="22"/>
                  <w:szCs w:val="22"/>
                </w:rPr>
                <m:t>-</m:t>
              </m:r>
            </m:sub>
          </m:sSub>
          <m:sSubSup>
            <m:sSubSupPr>
              <m:ctrlPr>
                <w:rPr>
                  <w:rFonts w:ascii="Cambria Math" w:hAnsi="Cambria Math" w:cs="Arial"/>
                  <w:b/>
                  <w:bCs/>
                  <w:i/>
                  <w:sz w:val="22"/>
                  <w:szCs w:val="22"/>
                </w:rPr>
              </m:ctrlPr>
            </m:sSubSupPr>
            <m:e>
              <m:r>
                <m:rPr>
                  <m:sty m:val="bi"/>
                </m:rPr>
                <w:rPr>
                  <w:rFonts w:ascii="Cambria Math" w:hAnsi="Cambria Math" w:cs="Arial"/>
                  <w:sz w:val="22"/>
                  <w:szCs w:val="22"/>
                </w:rPr>
                <m:t>R</m:t>
              </m:r>
            </m:e>
            <m:sub>
              <m:r>
                <m:rPr>
                  <m:sty m:val="bi"/>
                </m:rPr>
                <w:rPr>
                  <w:rFonts w:ascii="Cambria Math" w:hAnsi="Cambria Math" w:cs="Arial"/>
                  <w:sz w:val="22"/>
                  <w:szCs w:val="22"/>
                </w:rPr>
                <m:t>v</m:t>
              </m:r>
            </m:sub>
            <m:sup>
              <m:r>
                <m:rPr>
                  <m:sty m:val="bi"/>
                </m:rPr>
                <w:rPr>
                  <w:rFonts w:ascii="Cambria Math" w:hAnsi="Cambria Math" w:cs="Arial"/>
                  <w:sz w:val="22"/>
                  <w:szCs w:val="22"/>
                </w:rPr>
                <m:t>a</m:t>
              </m:r>
            </m:sup>
          </m:sSubSup>
          <m:r>
            <m:rPr>
              <m:sty m:val="bi"/>
            </m:rPr>
            <w:rPr>
              <w:rFonts w:ascii="Cambria Math" w:hAnsi="Cambria Math" w:cs="Arial"/>
              <w:sz w:val="22"/>
              <w:szCs w:val="22"/>
            </w:rPr>
            <m:t>,</m:t>
          </m:r>
        </m:oMath>
      </m:oMathPara>
    </w:p>
    <w:p w14:paraId="0D584EC8" w14:textId="77777777" w:rsidR="0066248A" w:rsidRPr="00804A38" w:rsidRDefault="0066248A" w:rsidP="00E4283E">
      <w:pPr>
        <w:spacing w:before="240" w:after="0" w:line="360" w:lineRule="auto"/>
        <w:rPr>
          <w:rFonts w:ascii="Arial" w:eastAsia="Arial" w:hAnsi="Arial" w:cs="Arial"/>
          <w:color w:val="000000"/>
          <w:kern w:val="0"/>
          <w:sz w:val="22"/>
          <w:szCs w:val="22"/>
          <w14:ligatures w14:val="none"/>
        </w:rPr>
      </w:pPr>
    </w:p>
    <w:p w14:paraId="1CC60457" w14:textId="77777777" w:rsidR="00E4283E" w:rsidRDefault="00E4283E" w:rsidP="00E4283E">
      <w:pPr>
        <w:spacing w:after="0" w:line="360" w:lineRule="auto"/>
        <w:rPr>
          <w:rFonts w:ascii="Arial" w:eastAsia="Arial" w:hAnsi="Arial" w:cs="Arial"/>
          <w:color w:val="000000"/>
          <w:kern w:val="0"/>
          <w:sz w:val="22"/>
          <w:szCs w:val="22"/>
          <w14:ligatures w14:val="none"/>
        </w:rPr>
      </w:pPr>
    </w:p>
    <w:p w14:paraId="3EFD7BC3" w14:textId="77777777" w:rsidR="00244982" w:rsidRDefault="00244982" w:rsidP="00E4283E">
      <w:pPr>
        <w:spacing w:after="0" w:line="360" w:lineRule="auto"/>
        <w:rPr>
          <w:rFonts w:ascii="Arial" w:eastAsia="Arial" w:hAnsi="Arial" w:cs="Arial"/>
          <w:color w:val="000000"/>
          <w:kern w:val="0"/>
          <w:sz w:val="22"/>
          <w:szCs w:val="22"/>
          <w14:ligatures w14:val="none"/>
        </w:rPr>
      </w:pPr>
    </w:p>
    <w:p w14:paraId="2DD0684D" w14:textId="099F7AC9" w:rsidR="00244982" w:rsidRDefault="00244982" w:rsidP="00244982">
      <w:pPr>
        <w:spacing w:after="0" w:line="360" w:lineRule="auto"/>
        <w:rPr>
          <w:rFonts w:ascii="Arial" w:eastAsia="Arial" w:hAnsi="Arial" w:cs="Arial"/>
          <w:b/>
          <w:bCs/>
          <w:color w:val="000000"/>
          <w:kern w:val="0"/>
          <w:sz w:val="22"/>
          <w:szCs w:val="22"/>
          <w14:ligatures w14:val="none"/>
        </w:rPr>
      </w:pPr>
      <w:r w:rsidRPr="00804A38">
        <w:rPr>
          <w:rFonts w:ascii="Arial" w:eastAsia="Arial" w:hAnsi="Arial" w:cs="Arial"/>
          <w:b/>
          <w:bCs/>
          <w:color w:val="000000"/>
          <w:kern w:val="0"/>
          <w:sz w:val="22"/>
          <w:szCs w:val="22"/>
          <w14:ligatures w14:val="none"/>
        </w:rPr>
        <w:lastRenderedPageBreak/>
        <w:t>List of parameters:</w:t>
      </w:r>
      <w:r w:rsidR="007329D3">
        <w:rPr>
          <w:rFonts w:ascii="Arial" w:eastAsia="Arial" w:hAnsi="Arial" w:cs="Arial"/>
          <w:b/>
          <w:bCs/>
          <w:color w:val="000000"/>
          <w:kern w:val="0"/>
          <w:sz w:val="22"/>
          <w:szCs w:val="22"/>
          <w14:ligatures w14:val="none"/>
        </w:rPr>
        <w:t xml:space="preserve"> (will move to suppl.)</w:t>
      </w:r>
    </w:p>
    <w:p w14:paraId="2F3E1E1A" w14:textId="77777777" w:rsidR="00244982" w:rsidRPr="00436FBC" w:rsidRDefault="00244982" w:rsidP="00244982">
      <w:pPr>
        <w:spacing w:after="0" w:line="360" w:lineRule="auto"/>
        <w:rPr>
          <w:rFonts w:ascii="Arial" w:eastAsia="Arial" w:hAnsi="Arial" w:cs="Arial"/>
          <w:b/>
          <w:bCs/>
          <w:color w:val="000000"/>
          <w:kern w:val="0"/>
          <w:sz w:val="22"/>
          <w:szCs w:val="22"/>
          <w14:ligatures w14:val="none"/>
        </w:rPr>
      </w:pPr>
      <w:r w:rsidRPr="00804A38">
        <w:rPr>
          <w:rFonts w:ascii="Arial" w:eastAsia="Arial" w:hAnsi="Arial" w:cs="Arial"/>
          <w:color w:val="000000"/>
          <w:kern w:val="0"/>
          <w:sz w:val="22"/>
          <w:szCs w:val="22"/>
          <w14:ligatures w14:val="none"/>
        </w:rPr>
        <w:t>We summarize the description of the parameters used in the model below:</w:t>
      </w:r>
    </w:p>
    <w:p w14:paraId="7D1593E6" w14:textId="77777777" w:rsidR="00244982" w:rsidRPr="00804A38" w:rsidRDefault="00244982" w:rsidP="00244982">
      <w:pPr>
        <w:spacing w:after="0" w:line="360" w:lineRule="auto"/>
        <w:rPr>
          <w:rFonts w:ascii="Arial" w:eastAsia="Arial" w:hAnsi="Arial" w:cs="Arial"/>
          <w:b/>
          <w:bCs/>
          <w:color w:val="000000"/>
          <w:kern w:val="0"/>
          <w:sz w:val="22"/>
          <w:szCs w:val="22"/>
          <w14:ligatures w14:val="none"/>
        </w:rPr>
      </w:pPr>
    </w:p>
    <w:tbl>
      <w:tblPr>
        <w:tblStyle w:val="TableGrid"/>
        <w:tblW w:w="9884" w:type="dxa"/>
        <w:tblLook w:val="04A0" w:firstRow="1" w:lastRow="0" w:firstColumn="1" w:lastColumn="0" w:noHBand="0" w:noVBand="1"/>
      </w:tblPr>
      <w:tblGrid>
        <w:gridCol w:w="1415"/>
        <w:gridCol w:w="1611"/>
        <w:gridCol w:w="1925"/>
        <w:gridCol w:w="2424"/>
        <w:gridCol w:w="2509"/>
      </w:tblGrid>
      <w:tr w:rsidR="00244982" w:rsidRPr="00804A38" w14:paraId="069C0748" w14:textId="77777777" w:rsidTr="00B972BC">
        <w:trPr>
          <w:trHeight w:val="377"/>
        </w:trPr>
        <w:tc>
          <w:tcPr>
            <w:tcW w:w="1415" w:type="dxa"/>
            <w:shd w:val="clear" w:color="auto" w:fill="E8E8E8" w:themeFill="background2"/>
          </w:tcPr>
          <w:p w14:paraId="3FD7D132"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b/>
                <w:bCs/>
                <w:color w:val="000000"/>
                <w:kern w:val="0"/>
                <w:sz w:val="22"/>
                <w:szCs w:val="22"/>
                <w14:ligatures w14:val="none"/>
              </w:rPr>
              <w:t>Parameters</w:t>
            </w:r>
          </w:p>
        </w:tc>
        <w:tc>
          <w:tcPr>
            <w:tcW w:w="1611" w:type="dxa"/>
            <w:shd w:val="clear" w:color="auto" w:fill="E8E8E8" w:themeFill="background2"/>
          </w:tcPr>
          <w:p w14:paraId="558141B5"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b/>
                <w:bCs/>
                <w:color w:val="000000"/>
                <w:kern w:val="0"/>
                <w:sz w:val="22"/>
                <w:szCs w:val="22"/>
                <w14:ligatures w14:val="none"/>
              </w:rPr>
              <w:t>Description</w:t>
            </w:r>
          </w:p>
        </w:tc>
        <w:tc>
          <w:tcPr>
            <w:tcW w:w="1925" w:type="dxa"/>
            <w:shd w:val="clear" w:color="auto" w:fill="E8E8E8" w:themeFill="background2"/>
          </w:tcPr>
          <w:p w14:paraId="5AC28EB9"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b/>
                <w:bCs/>
                <w:color w:val="000000"/>
                <w:kern w:val="0"/>
                <w:sz w:val="22"/>
                <w:szCs w:val="22"/>
                <w14:ligatures w14:val="none"/>
              </w:rPr>
              <w:t>Value</w:t>
            </w:r>
          </w:p>
        </w:tc>
        <w:tc>
          <w:tcPr>
            <w:tcW w:w="2424" w:type="dxa"/>
            <w:shd w:val="clear" w:color="auto" w:fill="E8E8E8" w:themeFill="background2"/>
          </w:tcPr>
          <w:p w14:paraId="74EA4478"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b/>
                <w:bCs/>
                <w:color w:val="000000"/>
                <w:kern w:val="0"/>
                <w:sz w:val="22"/>
                <w:szCs w:val="22"/>
                <w14:ligatures w14:val="none"/>
              </w:rPr>
              <w:t>Source</w:t>
            </w:r>
          </w:p>
        </w:tc>
        <w:tc>
          <w:tcPr>
            <w:tcW w:w="2509" w:type="dxa"/>
            <w:shd w:val="clear" w:color="auto" w:fill="E8E8E8" w:themeFill="background2"/>
          </w:tcPr>
          <w:p w14:paraId="5A5193B2"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b/>
                <w:bCs/>
                <w:color w:val="000000"/>
                <w:kern w:val="0"/>
                <w:sz w:val="22"/>
                <w:szCs w:val="22"/>
                <w14:ligatures w14:val="none"/>
              </w:rPr>
              <w:t>Remarks </w:t>
            </w:r>
          </w:p>
        </w:tc>
      </w:tr>
      <w:tr w:rsidR="00244982" w:rsidRPr="00804A38" w14:paraId="29321219" w14:textId="77777777" w:rsidTr="00B972BC">
        <w:tc>
          <w:tcPr>
            <w:tcW w:w="1415" w:type="dxa"/>
          </w:tcPr>
          <w:p w14:paraId="2AD0130C" w14:textId="77777777" w:rsidR="00244982" w:rsidRPr="00804A38" w:rsidRDefault="00244982" w:rsidP="00B972BC">
            <w:pPr>
              <w:spacing w:line="360" w:lineRule="auto"/>
              <w:rPr>
                <w:rFonts w:ascii="Arial" w:eastAsia="Arial" w:hAnsi="Arial" w:cs="Arial"/>
                <w:kern w:val="0"/>
                <w:sz w:val="22"/>
                <w:szCs w:val="22"/>
                <w14:ligatures w14:val="none"/>
              </w:rPr>
            </w:pPr>
          </w:p>
          <w:p w14:paraId="0B778E8D"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sSup>
                  <m:sSupPr>
                    <m:ctrlPr>
                      <w:rPr>
                        <w:rFonts w:ascii="Cambria Math" w:eastAsiaTheme="minorEastAsia" w:hAnsi="Cambria Math" w:cs="Arial"/>
                        <w:b/>
                        <w:kern w:val="0"/>
                        <w:sz w:val="22"/>
                        <w:szCs w:val="22"/>
                        <w14:ligatures w14:val="none"/>
                      </w:rPr>
                    </m:ctrlPr>
                  </m:sSupPr>
                  <m:e>
                    <m:r>
                      <m:rPr>
                        <m:sty m:val="b"/>
                      </m:rPr>
                      <w:rPr>
                        <w:rFonts w:ascii="Cambria Math" w:eastAsiaTheme="minorEastAsia" w:hAnsi="Cambria Math" w:cs="Arial"/>
                        <w:kern w:val="0"/>
                        <w:sz w:val="22"/>
                        <w:szCs w:val="22"/>
                        <w14:ligatures w14:val="none"/>
                      </w:rPr>
                      <m:t>Λ</m:t>
                    </m:r>
                  </m:e>
                  <m:sup>
                    <m:r>
                      <m:rPr>
                        <m:sty m:val="b"/>
                      </m:rPr>
                      <w:rPr>
                        <w:rFonts w:ascii="Cambria Math" w:eastAsiaTheme="minorEastAsia" w:hAnsi="Cambria Math" w:cs="Arial"/>
                        <w:kern w:val="0"/>
                        <w:sz w:val="22"/>
                        <w:szCs w:val="22"/>
                        <w14:ligatures w14:val="none"/>
                      </w:rPr>
                      <m:t>h</m:t>
                    </m:r>
                  </m:sup>
                </m:sSup>
              </m:oMath>
            </m:oMathPara>
          </w:p>
          <w:p w14:paraId="04A46CE0" w14:textId="77777777" w:rsidR="00244982" w:rsidRPr="00804A38" w:rsidRDefault="00244982" w:rsidP="00B972BC">
            <w:pPr>
              <w:spacing w:line="360" w:lineRule="auto"/>
              <w:rPr>
                <w:rFonts w:ascii="Arial" w:eastAsia="Arial" w:hAnsi="Arial" w:cs="Arial"/>
                <w:b/>
                <w:bCs/>
                <w:kern w:val="0"/>
                <w:sz w:val="22"/>
                <w:szCs w:val="22"/>
                <w14:ligatures w14:val="none"/>
              </w:rPr>
            </w:pPr>
          </w:p>
          <w:p w14:paraId="32F182F3"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1611" w:type="dxa"/>
          </w:tcPr>
          <w:p w14:paraId="7639793E"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Human birth rate</w:t>
            </w:r>
          </w:p>
        </w:tc>
        <w:tc>
          <w:tcPr>
            <w:tcW w:w="1925" w:type="dxa"/>
          </w:tcPr>
          <w:p w14:paraId="15ED3EFB"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Around 7.9 per 1000 residents in 2022</w:t>
            </w:r>
          </w:p>
        </w:tc>
        <w:tc>
          <w:tcPr>
            <w:tcW w:w="2424" w:type="dxa"/>
          </w:tcPr>
          <w:p w14:paraId="4995D59C"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{"citationID":"ApnwBIp1","properties":{"formattedCitation":"({\\i{}Singapore Population}, 2024)","plainCitation":"(Singapore Population, 2024)","noteIndex":0},"citationItems":[{"id":133,"uris":["http://zotero.org/groups/5139113/items/U26XI4DF"],"itemData":{"id":133,"type":"webpage","language":"en","title":"Singapore Population","URL":"http://www.singstat.gov.sg/modules/infographics/population","accessed":{"date-parts":[["2024",3,4]]},"issued":{"date-parts":[["2024"]]}}}],"schema":"https://github.com/citation-style-language/schema/raw/master/csl-citation.json"}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w:t>
            </w:r>
            <w:r w:rsidRPr="00804A38">
              <w:rPr>
                <w:rFonts w:ascii="Arial" w:eastAsia="Arial" w:hAnsi="Arial" w:cs="Arial"/>
                <w:i/>
                <w:iCs/>
                <w:kern w:val="0"/>
                <w:sz w:val="22"/>
                <w:szCs w:val="22"/>
              </w:rPr>
              <w:t>Singapore Population</w:t>
            </w:r>
            <w:r w:rsidRPr="00804A38">
              <w:rPr>
                <w:rFonts w:ascii="Arial" w:eastAsia="Arial" w:hAnsi="Arial" w:cs="Arial"/>
                <w:kern w:val="0"/>
                <w:sz w:val="22"/>
                <w:szCs w:val="22"/>
              </w:rPr>
              <w:t>, 2024)</w:t>
            </w:r>
            <w:r w:rsidRPr="00804A38">
              <w:rPr>
                <w:rFonts w:ascii="Arial" w:eastAsia="Times New Roman" w:hAnsi="Arial" w:cs="Arial"/>
                <w:kern w:val="0"/>
                <w:sz w:val="22"/>
                <w:szCs w:val="22"/>
                <w14:ligatures w14:val="none"/>
              </w:rPr>
              <w:fldChar w:fldCharType="end"/>
            </w:r>
          </w:p>
        </w:tc>
        <w:tc>
          <w:tcPr>
            <w:tcW w:w="2509" w:type="dxa"/>
          </w:tcPr>
          <w:p w14:paraId="1430A4E1"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Over the time the birth rate showed a decreasing trend  </w:t>
            </w:r>
          </w:p>
        </w:tc>
      </w:tr>
      <w:tr w:rsidR="00244982" w:rsidRPr="00804A38" w14:paraId="1F7E0E2F" w14:textId="77777777" w:rsidTr="00B972BC">
        <w:tc>
          <w:tcPr>
            <w:tcW w:w="1415" w:type="dxa"/>
          </w:tcPr>
          <w:p w14:paraId="00ED1211" w14:textId="77777777" w:rsidR="00244982" w:rsidRPr="00804A38" w:rsidRDefault="00244982" w:rsidP="00B972BC">
            <w:pPr>
              <w:spacing w:line="360" w:lineRule="auto"/>
              <w:jc w:val="center"/>
              <w:rPr>
                <w:rFonts w:ascii="Arial" w:eastAsia="Arial" w:hAnsi="Arial" w:cs="Arial"/>
                <w:b/>
                <w:bCs/>
                <w:kern w:val="0"/>
                <w:sz w:val="22"/>
                <w:szCs w:val="22"/>
                <w14:ligatures w14:val="none"/>
              </w:rPr>
            </w:pPr>
            <m:oMathPara>
              <m:oMath>
                <m:r>
                  <m:rPr>
                    <m:sty m:val="b"/>
                  </m:rPr>
                  <w:rPr>
                    <w:rFonts w:ascii="Cambria Math" w:eastAsiaTheme="minorEastAsia" w:hAnsi="Cambria Math" w:cs="Arial"/>
                    <w:kern w:val="0"/>
                    <w:sz w:val="22"/>
                    <w:szCs w:val="22"/>
                    <w14:ligatures w14:val="none"/>
                  </w:rPr>
                  <m:t>μ</m:t>
                </m:r>
              </m:oMath>
            </m:oMathPara>
          </w:p>
          <w:p w14:paraId="21DAC682" w14:textId="77777777" w:rsidR="00244982" w:rsidRPr="00804A38" w:rsidRDefault="00244982" w:rsidP="00B972BC">
            <w:pPr>
              <w:spacing w:line="360" w:lineRule="auto"/>
              <w:rPr>
                <w:rFonts w:ascii="Arial" w:eastAsia="Arial" w:hAnsi="Arial" w:cs="Arial"/>
                <w:kern w:val="0"/>
                <w:sz w:val="22"/>
                <w:szCs w:val="22"/>
                <w14:ligatures w14:val="none"/>
              </w:rPr>
            </w:pPr>
          </w:p>
          <w:p w14:paraId="60FE22C5"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1611" w:type="dxa"/>
          </w:tcPr>
          <w:p w14:paraId="1088D817"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Human mortality rate</w:t>
            </w:r>
          </w:p>
        </w:tc>
        <w:tc>
          <w:tcPr>
            <w:tcW w:w="1925" w:type="dxa"/>
          </w:tcPr>
          <w:p w14:paraId="6CD6B787"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Age-specific values</w:t>
            </w:r>
          </w:p>
        </w:tc>
        <w:tc>
          <w:tcPr>
            <w:tcW w:w="2424" w:type="dxa"/>
          </w:tcPr>
          <w:p w14:paraId="044BB9B2"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{"citationID":"IHMClNii","properties":{"formattedCitation":"({\\i{}Singapore Population}, 2024)","plainCitation":"(Singapore Population, 2024)","noteIndex":0},"citationItems":[{"id":133,"uris":["http://zotero.org/groups/5139113/items/U26XI4DF"],"itemData":{"id":133,"type":"webpage","language":"en","title":"Singapore Population","URL":"http://www.singstat.gov.sg/modules/infographics/population","accessed":{"date-parts":[["2024",3,4]]},"issued":{"date-parts":[["2024"]]}}}],"schema":"https://github.com/citation-style-language/schema/raw/master/csl-citation.json"}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w:t>
            </w:r>
            <w:r w:rsidRPr="00804A38">
              <w:rPr>
                <w:rFonts w:ascii="Arial" w:eastAsia="Arial" w:hAnsi="Arial" w:cs="Arial"/>
                <w:i/>
                <w:iCs/>
                <w:kern w:val="0"/>
                <w:sz w:val="22"/>
                <w:szCs w:val="22"/>
              </w:rPr>
              <w:t>Singapore Population</w:t>
            </w:r>
            <w:r w:rsidRPr="00804A38">
              <w:rPr>
                <w:rFonts w:ascii="Arial" w:eastAsia="Arial" w:hAnsi="Arial" w:cs="Arial"/>
                <w:kern w:val="0"/>
                <w:sz w:val="22"/>
                <w:szCs w:val="22"/>
              </w:rPr>
              <w:t>, 2024)</w:t>
            </w:r>
            <w:r w:rsidRPr="00804A38">
              <w:rPr>
                <w:rFonts w:ascii="Arial" w:eastAsia="Times New Roman" w:hAnsi="Arial" w:cs="Arial"/>
                <w:kern w:val="0"/>
                <w:sz w:val="22"/>
                <w:szCs w:val="22"/>
                <w14:ligatures w14:val="none"/>
              </w:rPr>
              <w:fldChar w:fldCharType="end"/>
            </w:r>
          </w:p>
        </w:tc>
        <w:tc>
          <w:tcPr>
            <w:tcW w:w="2509" w:type="dxa"/>
          </w:tcPr>
          <w:p w14:paraId="681F9AAF"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2A605D0F" w14:textId="77777777" w:rsidTr="00B972BC">
        <w:tc>
          <w:tcPr>
            <w:tcW w:w="1415" w:type="dxa"/>
          </w:tcPr>
          <w:p w14:paraId="41F2D60C" w14:textId="77777777" w:rsidR="00244982" w:rsidRPr="00804A38" w:rsidRDefault="00244982" w:rsidP="00B972BC">
            <w:pPr>
              <w:spacing w:line="360" w:lineRule="auto"/>
              <w:rPr>
                <w:rFonts w:ascii="Arial" w:eastAsia="Arial" w:hAnsi="Arial" w:cs="Arial"/>
                <w:b/>
                <w:bCs/>
                <w:kern w:val="0"/>
                <w:sz w:val="22"/>
                <w:szCs w:val="22"/>
                <w14:ligatures w14:val="none"/>
              </w:rPr>
            </w:pPr>
          </w:p>
          <w:p w14:paraId="1C0A744F"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sSub>
                  <m:sSubPr>
                    <m:ctrlPr>
                      <w:rPr>
                        <w:rFonts w:ascii="Cambria Math" w:eastAsia="Times New Roman" w:hAnsi="Cambria Math" w:cs="Arial"/>
                        <w:b/>
                        <w:bCs/>
                        <w:i/>
                        <w:kern w:val="0"/>
                        <w:sz w:val="22"/>
                        <w:szCs w:val="22"/>
                        <w14:ligatures w14:val="none"/>
                      </w:rPr>
                    </m:ctrlPr>
                  </m:sSubPr>
                  <m:e>
                    <m:r>
                      <m:rPr>
                        <m:sty m:val="bi"/>
                      </m:rPr>
                      <w:rPr>
                        <w:rFonts w:ascii="Cambria Math" w:eastAsia="Times New Roman" w:hAnsi="Cambria Math" w:cs="Arial"/>
                        <w:kern w:val="0"/>
                        <w:sz w:val="22"/>
                        <w:szCs w:val="22"/>
                        <w14:ligatures w14:val="none"/>
                      </w:rPr>
                      <m:t>ρ</m:t>
                    </m:r>
                    <m:ctrlPr>
                      <w:rPr>
                        <w:rFonts w:ascii="Cambria Math" w:eastAsia="Times New Roman" w:hAnsi="Cambria Math" w:cs="Arial"/>
                        <w:b/>
                        <w:bCs/>
                        <w:kern w:val="0"/>
                        <w:sz w:val="22"/>
                        <w:szCs w:val="22"/>
                        <w14:ligatures w14:val="none"/>
                      </w:rPr>
                    </m:ctrlPr>
                  </m:e>
                  <m:sub>
                    <m:r>
                      <m:rPr>
                        <m:sty m:val="bi"/>
                      </m:rPr>
                      <w:rPr>
                        <w:rFonts w:ascii="Cambria Math" w:eastAsia="Times New Roman" w:hAnsi="Cambria Math" w:cs="Arial"/>
                        <w:kern w:val="0"/>
                        <w:sz w:val="22"/>
                        <w:szCs w:val="22"/>
                        <w14:ligatures w14:val="none"/>
                      </w:rPr>
                      <m:t>1</m:t>
                    </m:r>
                  </m:sub>
                </m:sSub>
              </m:oMath>
            </m:oMathPara>
          </w:p>
          <w:p w14:paraId="581CCE65" w14:textId="77777777" w:rsidR="00244982" w:rsidRPr="00804A38" w:rsidRDefault="00244982" w:rsidP="00B972BC">
            <w:pPr>
              <w:spacing w:line="360" w:lineRule="auto"/>
              <w:jc w:val="center"/>
              <w:rPr>
                <w:rFonts w:ascii="Arial" w:eastAsia="Arial" w:hAnsi="Arial" w:cs="Arial"/>
                <w:b/>
                <w:bCs/>
                <w:kern w:val="0"/>
                <w:sz w:val="22"/>
                <w:szCs w:val="22"/>
                <w14:ligatures w14:val="none"/>
              </w:rPr>
            </w:pPr>
          </w:p>
          <w:p w14:paraId="6426CE68" w14:textId="77777777" w:rsidR="00244982" w:rsidRPr="00804A38" w:rsidRDefault="00244982" w:rsidP="00B972BC">
            <w:pPr>
              <w:spacing w:line="360" w:lineRule="auto"/>
              <w:rPr>
                <w:rFonts w:ascii="Arial" w:eastAsia="Arial" w:hAnsi="Arial" w:cs="Arial"/>
                <w:b/>
                <w:bCs/>
                <w:kern w:val="0"/>
                <w:sz w:val="22"/>
                <w:szCs w:val="22"/>
                <w14:ligatures w14:val="none"/>
              </w:rPr>
            </w:pPr>
          </w:p>
        </w:tc>
        <w:tc>
          <w:tcPr>
            <w:tcW w:w="1611" w:type="dxa"/>
          </w:tcPr>
          <w:p w14:paraId="3FC96431"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Proportion of symptomatic primary infection</w:t>
            </w:r>
          </w:p>
        </w:tc>
        <w:tc>
          <w:tcPr>
            <w:tcW w:w="1925" w:type="dxa"/>
          </w:tcPr>
          <w:p w14:paraId="2C1581AC"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Age specific</w:t>
            </w:r>
          </w:p>
        </w:tc>
        <w:tc>
          <w:tcPr>
            <w:tcW w:w="2424" w:type="dxa"/>
          </w:tcPr>
          <w:p w14:paraId="501C5D1B"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6B2CA26F"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 xml:space="preserve">Need to estimate from age-stratified case notification data. </w:t>
            </w:r>
          </w:p>
        </w:tc>
      </w:tr>
      <w:tr w:rsidR="00244982" w:rsidRPr="00804A38" w14:paraId="7B017E87" w14:textId="77777777" w:rsidTr="00B972BC">
        <w:tc>
          <w:tcPr>
            <w:tcW w:w="1415" w:type="dxa"/>
          </w:tcPr>
          <w:p w14:paraId="4DDECF1B" w14:textId="77777777" w:rsidR="00244982" w:rsidRPr="00804A38" w:rsidRDefault="00244982" w:rsidP="00B972BC">
            <w:pPr>
              <w:spacing w:line="360" w:lineRule="auto"/>
              <w:rPr>
                <w:rFonts w:ascii="Arial" w:eastAsia="Arial" w:hAnsi="Arial" w:cs="Arial"/>
                <w:b/>
                <w:bCs/>
                <w:kern w:val="0"/>
                <w:sz w:val="22"/>
                <w:szCs w:val="22"/>
                <w14:ligatures w14:val="none"/>
              </w:rPr>
            </w:pPr>
          </w:p>
          <w:p w14:paraId="77BC23A9"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sSub>
                  <m:sSubPr>
                    <m:ctrlPr>
                      <w:rPr>
                        <w:rFonts w:ascii="Cambria Math" w:eastAsia="Times New Roman" w:hAnsi="Cambria Math" w:cs="Arial"/>
                        <w:b/>
                        <w:bCs/>
                        <w:i/>
                        <w:kern w:val="0"/>
                        <w:sz w:val="22"/>
                        <w:szCs w:val="22"/>
                        <w14:ligatures w14:val="none"/>
                      </w:rPr>
                    </m:ctrlPr>
                  </m:sSubPr>
                  <m:e>
                    <m:r>
                      <m:rPr>
                        <m:sty m:val="bi"/>
                      </m:rPr>
                      <w:rPr>
                        <w:rFonts w:ascii="Cambria Math" w:eastAsia="Times New Roman" w:hAnsi="Cambria Math" w:cs="Arial"/>
                        <w:kern w:val="0"/>
                        <w:sz w:val="22"/>
                        <w:szCs w:val="22"/>
                        <w14:ligatures w14:val="none"/>
                      </w:rPr>
                      <m:t>ρ</m:t>
                    </m:r>
                    <m:ctrlPr>
                      <w:rPr>
                        <w:rFonts w:ascii="Cambria Math" w:eastAsia="Times New Roman" w:hAnsi="Cambria Math" w:cs="Arial"/>
                        <w:b/>
                        <w:bCs/>
                        <w:kern w:val="0"/>
                        <w:sz w:val="22"/>
                        <w:szCs w:val="22"/>
                        <w14:ligatures w14:val="none"/>
                      </w:rPr>
                    </m:ctrlPr>
                  </m:e>
                  <m:sub>
                    <m:r>
                      <m:rPr>
                        <m:sty m:val="bi"/>
                      </m:rPr>
                      <w:rPr>
                        <w:rFonts w:ascii="Cambria Math" w:eastAsia="Times New Roman" w:hAnsi="Cambria Math" w:cs="Arial"/>
                        <w:kern w:val="0"/>
                        <w:sz w:val="22"/>
                        <w:szCs w:val="22"/>
                        <w14:ligatures w14:val="none"/>
                      </w:rPr>
                      <m:t>2</m:t>
                    </m:r>
                  </m:sub>
                </m:sSub>
              </m:oMath>
            </m:oMathPara>
          </w:p>
          <w:p w14:paraId="07B0F6F8" w14:textId="77777777" w:rsidR="00244982" w:rsidRPr="00804A38" w:rsidRDefault="00244982" w:rsidP="00B972BC">
            <w:pPr>
              <w:spacing w:line="360" w:lineRule="auto"/>
              <w:rPr>
                <w:rFonts w:ascii="Arial" w:eastAsia="Arial" w:hAnsi="Arial" w:cs="Arial"/>
                <w:b/>
                <w:bCs/>
                <w:kern w:val="0"/>
                <w:sz w:val="22"/>
                <w:szCs w:val="22"/>
                <w14:ligatures w14:val="none"/>
              </w:rPr>
            </w:pPr>
          </w:p>
        </w:tc>
        <w:tc>
          <w:tcPr>
            <w:tcW w:w="1611" w:type="dxa"/>
          </w:tcPr>
          <w:p w14:paraId="2AFF4337"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Proportion of symptomatic secondary infection</w:t>
            </w:r>
          </w:p>
        </w:tc>
        <w:tc>
          <w:tcPr>
            <w:tcW w:w="1925" w:type="dxa"/>
          </w:tcPr>
          <w:p w14:paraId="1DC25486"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Age specific</w:t>
            </w:r>
          </w:p>
        </w:tc>
        <w:tc>
          <w:tcPr>
            <w:tcW w:w="2424" w:type="dxa"/>
          </w:tcPr>
          <w:p w14:paraId="43314D5B"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55716A22"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Need to estimate from age-stratified case notification data</w:t>
            </w:r>
          </w:p>
        </w:tc>
      </w:tr>
      <w:tr w:rsidR="00244982" w:rsidRPr="00804A38" w14:paraId="7A1B0F56" w14:textId="77777777" w:rsidTr="00B972BC">
        <w:trPr>
          <w:trHeight w:val="2321"/>
        </w:trPr>
        <w:tc>
          <w:tcPr>
            <w:tcW w:w="1415" w:type="dxa"/>
          </w:tcPr>
          <w:p w14:paraId="035FFBA1" w14:textId="77777777" w:rsidR="00244982" w:rsidRPr="00804A38" w:rsidRDefault="00244982" w:rsidP="00B972BC">
            <w:pPr>
              <w:spacing w:line="360" w:lineRule="auto"/>
              <w:rPr>
                <w:rFonts w:ascii="Arial" w:eastAsia="Arial" w:hAnsi="Arial" w:cs="Arial"/>
                <w:b/>
                <w:bCs/>
                <w:kern w:val="0"/>
                <w:sz w:val="22"/>
                <w:szCs w:val="22"/>
                <w14:ligatures w14:val="none"/>
              </w:rPr>
            </w:pPr>
          </w:p>
          <w:p w14:paraId="14450943"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sSub>
                  <m:sSubPr>
                    <m:ctrlPr>
                      <w:rPr>
                        <w:rFonts w:ascii="Cambria Math" w:eastAsia="Times New Roman" w:hAnsi="Cambria Math" w:cs="Arial"/>
                        <w:b/>
                        <w:bCs/>
                        <w:i/>
                        <w:kern w:val="0"/>
                        <w:sz w:val="22"/>
                        <w:szCs w:val="22"/>
                        <w14:ligatures w14:val="none"/>
                      </w:rPr>
                    </m:ctrlPr>
                  </m:sSubPr>
                  <m:e>
                    <m:r>
                      <m:rPr>
                        <m:sty m:val="bi"/>
                      </m:rPr>
                      <w:rPr>
                        <w:rFonts w:ascii="Cambria Math" w:eastAsia="Times New Roman" w:hAnsi="Cambria Math" w:cs="Arial"/>
                        <w:kern w:val="0"/>
                        <w:sz w:val="22"/>
                        <w:szCs w:val="22"/>
                        <w14:ligatures w14:val="none"/>
                      </w:rPr>
                      <m:t>ξ</m:t>
                    </m:r>
                    <m:ctrlPr>
                      <w:rPr>
                        <w:rFonts w:ascii="Cambria Math" w:eastAsia="Times New Roman" w:hAnsi="Cambria Math" w:cs="Arial"/>
                        <w:b/>
                        <w:bCs/>
                        <w:kern w:val="0"/>
                        <w:sz w:val="22"/>
                        <w:szCs w:val="22"/>
                        <w14:ligatures w14:val="none"/>
                      </w:rPr>
                    </m:ctrlPr>
                  </m:e>
                  <m:sub>
                    <m:r>
                      <m:rPr>
                        <m:sty m:val="bi"/>
                      </m:rPr>
                      <w:rPr>
                        <w:rFonts w:ascii="Cambria Math" w:eastAsia="Times New Roman" w:hAnsi="Cambria Math" w:cs="Arial"/>
                        <w:kern w:val="0"/>
                        <w:sz w:val="22"/>
                        <w:szCs w:val="22"/>
                        <w14:ligatures w14:val="none"/>
                      </w:rPr>
                      <m:t>1</m:t>
                    </m:r>
                  </m:sub>
                </m:sSub>
              </m:oMath>
            </m:oMathPara>
          </w:p>
          <w:p w14:paraId="3781048A" w14:textId="77777777" w:rsidR="00244982" w:rsidRPr="00804A38" w:rsidRDefault="00244982" w:rsidP="00B972BC">
            <w:pPr>
              <w:spacing w:line="360" w:lineRule="auto"/>
              <w:rPr>
                <w:rFonts w:ascii="Arial" w:eastAsia="Arial" w:hAnsi="Arial" w:cs="Arial"/>
                <w:b/>
                <w:bCs/>
                <w:kern w:val="0"/>
                <w:sz w:val="22"/>
                <w:szCs w:val="22"/>
                <w14:ligatures w14:val="none"/>
              </w:rPr>
            </w:pPr>
          </w:p>
        </w:tc>
        <w:tc>
          <w:tcPr>
            <w:tcW w:w="1611" w:type="dxa"/>
          </w:tcPr>
          <w:p w14:paraId="6B97FA9F"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Proportion of symptomatic primary infection require hospitalization</w:t>
            </w:r>
          </w:p>
        </w:tc>
        <w:tc>
          <w:tcPr>
            <w:tcW w:w="1925" w:type="dxa"/>
          </w:tcPr>
          <w:p w14:paraId="40769375"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0.30</w:t>
            </w:r>
          </w:p>
        </w:tc>
        <w:tc>
          <w:tcPr>
            <w:tcW w:w="2424" w:type="dxa"/>
          </w:tcPr>
          <w:p w14:paraId="2003C659"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{"citationID":"zJ8DclHp","properties":{"formattedCitation":"(Ang {\\i{}et al.}, 2019)","plainCitation":"(Ang et al., 2019)","noteIndex":0},"citationItems":[{"id":157,"uris":["http://zotero.org/groups/5139113/items/9WHFN4D4"],"itemData":{"id":157,"type":"article-journal","container-title":"PLOS Neglected Tropical Diseases","DOI":"10.1371/journal.pntd.0007389","ISSN":"1935-2735","issue":"5","journalAbbreviation":"PLoS Negl Trop Dis","language":"en","page":"e0007389","source":"DOI.org (Crossref)","title":"A 15-year review of dengue hospitalizations in Singapore: Reducing admissions without adverse consequences, 2003 to 2017","title-short":"A 15-year review of dengue hospitalizations in Singapore","volume":"13","author":[{"family":"Ang","given":"Li Wei"},{"family":"Thein","given":"Tun-Linn"},{"family":"Ng","given":"Yixiang"},{"family":"Boudville","given":"Irving Charles"},{"family":"Chia","given":"Po Ying"},{"family":"Lee","given":"Vernon Jian Ming"},{"family":"Leo","given":"Yee-Sin"}],"editor":[{"family":"Althouse","given":"Benjamin"}],"issued":{"date-parts":[["2019",5,15]]}}}],"schema":"https://github.com/citation-style-language/schema/raw/master/csl-citation.json"}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 xml:space="preserve">(Ang </w:t>
            </w:r>
            <w:r w:rsidRPr="00804A38">
              <w:rPr>
                <w:rFonts w:ascii="Arial" w:eastAsia="Arial" w:hAnsi="Arial" w:cs="Arial"/>
                <w:i/>
                <w:iCs/>
                <w:kern w:val="0"/>
                <w:sz w:val="22"/>
                <w:szCs w:val="22"/>
              </w:rPr>
              <w:t>et al.</w:t>
            </w:r>
            <w:r w:rsidRPr="00804A38">
              <w:rPr>
                <w:rFonts w:ascii="Arial" w:eastAsia="Arial" w:hAnsi="Arial" w:cs="Arial"/>
                <w:kern w:val="0"/>
                <w:sz w:val="22"/>
                <w:szCs w:val="22"/>
              </w:rPr>
              <w:t>, 2019)</w:t>
            </w:r>
            <w:r w:rsidRPr="00804A38">
              <w:rPr>
                <w:rFonts w:ascii="Arial" w:eastAsia="Times New Roman" w:hAnsi="Arial" w:cs="Arial"/>
                <w:kern w:val="0"/>
                <w:sz w:val="22"/>
                <w:szCs w:val="22"/>
                <w14:ligatures w14:val="none"/>
              </w:rPr>
              <w:fldChar w:fldCharType="end"/>
            </w:r>
          </w:p>
        </w:tc>
        <w:tc>
          <w:tcPr>
            <w:tcW w:w="2509" w:type="dxa"/>
          </w:tcPr>
          <w:p w14:paraId="4BDD0BD0"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During 2003 – 2005, the rate was more than 88%. However, over time it has been reduced. In 2017, it became, 35.9%.</w:t>
            </w:r>
          </w:p>
        </w:tc>
      </w:tr>
      <w:tr w:rsidR="00244982" w:rsidRPr="00804A38" w14:paraId="32EFC298" w14:textId="77777777" w:rsidTr="00B972BC">
        <w:trPr>
          <w:trHeight w:val="1340"/>
        </w:trPr>
        <w:tc>
          <w:tcPr>
            <w:tcW w:w="1415" w:type="dxa"/>
          </w:tcPr>
          <w:p w14:paraId="7B286234" w14:textId="77777777" w:rsidR="00244982" w:rsidRPr="00804A38" w:rsidRDefault="00244982" w:rsidP="00B972BC">
            <w:pPr>
              <w:spacing w:line="360" w:lineRule="auto"/>
              <w:rPr>
                <w:rFonts w:ascii="Arial" w:eastAsia="Arial" w:hAnsi="Arial" w:cs="Arial"/>
                <w:b/>
                <w:bCs/>
                <w:kern w:val="0"/>
                <w:sz w:val="22"/>
                <w:szCs w:val="22"/>
                <w14:ligatures w14:val="none"/>
              </w:rPr>
            </w:pPr>
          </w:p>
          <w:p w14:paraId="574C70C8"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sSub>
                  <m:sSubPr>
                    <m:ctrlPr>
                      <w:rPr>
                        <w:rFonts w:ascii="Cambria Math" w:eastAsia="Times New Roman" w:hAnsi="Cambria Math" w:cs="Arial"/>
                        <w:b/>
                        <w:bCs/>
                        <w:i/>
                        <w:kern w:val="0"/>
                        <w:sz w:val="22"/>
                        <w:szCs w:val="22"/>
                        <w14:ligatures w14:val="none"/>
                      </w:rPr>
                    </m:ctrlPr>
                  </m:sSubPr>
                  <m:e>
                    <m:r>
                      <m:rPr>
                        <m:sty m:val="bi"/>
                      </m:rPr>
                      <w:rPr>
                        <w:rFonts w:ascii="Cambria Math" w:eastAsia="Times New Roman" w:hAnsi="Cambria Math" w:cs="Arial"/>
                        <w:kern w:val="0"/>
                        <w:sz w:val="22"/>
                        <w:szCs w:val="22"/>
                        <w14:ligatures w14:val="none"/>
                      </w:rPr>
                      <m:t>ξ</m:t>
                    </m:r>
                    <m:ctrlPr>
                      <w:rPr>
                        <w:rFonts w:ascii="Cambria Math" w:eastAsia="Times New Roman" w:hAnsi="Cambria Math" w:cs="Arial"/>
                        <w:b/>
                        <w:bCs/>
                        <w:kern w:val="0"/>
                        <w:sz w:val="22"/>
                        <w:szCs w:val="22"/>
                        <w14:ligatures w14:val="none"/>
                      </w:rPr>
                    </m:ctrlPr>
                  </m:e>
                  <m:sub>
                    <m:r>
                      <m:rPr>
                        <m:sty m:val="bi"/>
                      </m:rPr>
                      <w:rPr>
                        <w:rFonts w:ascii="Cambria Math" w:eastAsia="Times New Roman" w:hAnsi="Cambria Math" w:cs="Arial"/>
                        <w:kern w:val="0"/>
                        <w:sz w:val="22"/>
                        <w:szCs w:val="22"/>
                        <w14:ligatures w14:val="none"/>
                      </w:rPr>
                      <m:t>2</m:t>
                    </m:r>
                  </m:sub>
                </m:sSub>
              </m:oMath>
            </m:oMathPara>
          </w:p>
          <w:p w14:paraId="2A8F874B" w14:textId="77777777" w:rsidR="00244982" w:rsidRPr="00804A38" w:rsidRDefault="00244982" w:rsidP="00B972BC">
            <w:pPr>
              <w:spacing w:line="360" w:lineRule="auto"/>
              <w:rPr>
                <w:rFonts w:ascii="Arial" w:eastAsia="Arial" w:hAnsi="Arial" w:cs="Arial"/>
                <w:b/>
                <w:bCs/>
                <w:kern w:val="0"/>
                <w:sz w:val="22"/>
                <w:szCs w:val="22"/>
                <w14:ligatures w14:val="none"/>
              </w:rPr>
            </w:pPr>
          </w:p>
        </w:tc>
        <w:tc>
          <w:tcPr>
            <w:tcW w:w="1611" w:type="dxa"/>
          </w:tcPr>
          <w:p w14:paraId="5F460B88"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Proportion of symptomatic secondary infection require hospitalization</w:t>
            </w:r>
          </w:p>
        </w:tc>
        <w:tc>
          <w:tcPr>
            <w:tcW w:w="1925" w:type="dxa"/>
          </w:tcPr>
          <w:p w14:paraId="1D353E98"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424" w:type="dxa"/>
          </w:tcPr>
          <w:p w14:paraId="1EAF0D0F"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3C94C8FF"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Need to make some assumption based on the fact the secondary infection is more severe than primary infection</w:t>
            </w:r>
          </w:p>
        </w:tc>
      </w:tr>
      <w:tr w:rsidR="00244982" w:rsidRPr="00804A38" w14:paraId="3B892A55" w14:textId="77777777" w:rsidTr="00B972BC">
        <w:tc>
          <w:tcPr>
            <w:tcW w:w="1415" w:type="dxa"/>
          </w:tcPr>
          <w:p w14:paraId="027CBF3B" w14:textId="77777777" w:rsidR="00244982" w:rsidRPr="00804A38" w:rsidRDefault="00000000" w:rsidP="00B972BC">
            <w:pPr>
              <w:spacing w:line="360" w:lineRule="auto"/>
              <w:jc w:val="center"/>
              <w:rPr>
                <w:rFonts w:ascii="Arial" w:eastAsia="Arial" w:hAnsi="Arial" w:cs="Arial"/>
                <w:b/>
                <w:bCs/>
                <w:kern w:val="0"/>
                <w:sz w:val="22"/>
                <w:szCs w:val="22"/>
                <w:vertAlign w:val="subscript"/>
                <w14:ligatures w14:val="none"/>
              </w:rPr>
            </w:pPr>
            <m:oMathPara>
              <m:oMath>
                <m:f>
                  <m:fPr>
                    <m:ctrlPr>
                      <w:rPr>
                        <w:rFonts w:ascii="Cambria Math" w:eastAsia="Times New Roman" w:hAnsi="Cambria Math" w:cs="Arial"/>
                        <w:b/>
                        <w:bCs/>
                        <w:kern w:val="0"/>
                        <w:sz w:val="22"/>
                        <w:szCs w:val="22"/>
                        <w:vertAlign w:val="subscript"/>
                        <w14:ligatures w14:val="none"/>
                      </w:rPr>
                    </m:ctrlPr>
                  </m:fPr>
                  <m:num>
                    <m:r>
                      <m:rPr>
                        <m:sty m:val="bi"/>
                      </m:rPr>
                      <w:rPr>
                        <w:rFonts w:ascii="Cambria Math" w:eastAsia="Times New Roman" w:hAnsi="Cambria Math" w:cs="Arial"/>
                        <w:kern w:val="0"/>
                        <w:sz w:val="22"/>
                        <w:szCs w:val="22"/>
                        <w:vertAlign w:val="subscript"/>
                        <w14:ligatures w14:val="none"/>
                      </w:rPr>
                      <m:t>1</m:t>
                    </m:r>
                    <m:ctrlPr>
                      <w:rPr>
                        <w:rFonts w:ascii="Cambria Math" w:eastAsia="Times New Roman" w:hAnsi="Cambria Math" w:cs="Arial"/>
                        <w:b/>
                        <w:bCs/>
                        <w:i/>
                        <w:kern w:val="0"/>
                        <w:sz w:val="22"/>
                        <w:szCs w:val="22"/>
                        <w:vertAlign w:val="subscript"/>
                        <w14:ligatures w14:val="none"/>
                      </w:rPr>
                    </m:ctrlPr>
                  </m:num>
                  <m:den>
                    <m:r>
                      <m:rPr>
                        <m:sty m:val="b"/>
                      </m:rPr>
                      <w:rPr>
                        <w:rFonts w:ascii="Cambria Math" w:eastAsia="Times New Roman" w:hAnsi="Cambria Math" w:cs="Arial"/>
                        <w:kern w:val="0"/>
                        <w:sz w:val="22"/>
                        <w:szCs w:val="22"/>
                        <w:vertAlign w:val="subscript"/>
                        <w14:ligatures w14:val="none"/>
                      </w:rPr>
                      <m:t>γ</m:t>
                    </m:r>
                    <m:ctrlPr>
                      <w:rPr>
                        <w:rFonts w:ascii="Cambria Math" w:eastAsia="Times New Roman" w:hAnsi="Cambria Math" w:cs="Arial"/>
                        <w:b/>
                        <w:bCs/>
                        <w:i/>
                        <w:kern w:val="0"/>
                        <w:sz w:val="22"/>
                        <w:szCs w:val="22"/>
                        <w:vertAlign w:val="subscript"/>
                        <w14:ligatures w14:val="none"/>
                      </w:rPr>
                    </m:ctrlPr>
                  </m:den>
                </m:f>
              </m:oMath>
            </m:oMathPara>
          </w:p>
          <w:p w14:paraId="06C0EF56" w14:textId="77777777" w:rsidR="00244982" w:rsidRPr="00804A38" w:rsidRDefault="00244982" w:rsidP="00B972BC">
            <w:pPr>
              <w:spacing w:line="360" w:lineRule="auto"/>
              <w:rPr>
                <w:rFonts w:ascii="Arial" w:eastAsia="Arial" w:hAnsi="Arial" w:cs="Arial"/>
                <w:b/>
                <w:bCs/>
                <w:kern w:val="0"/>
                <w:sz w:val="22"/>
                <w:szCs w:val="22"/>
                <w:vertAlign w:val="subscript"/>
                <w14:ligatures w14:val="none"/>
              </w:rPr>
            </w:pPr>
          </w:p>
        </w:tc>
        <w:tc>
          <w:tcPr>
            <w:tcW w:w="1611" w:type="dxa"/>
          </w:tcPr>
          <w:p w14:paraId="32AA72DD"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Infectious period of human</w:t>
            </w:r>
          </w:p>
        </w:tc>
        <w:tc>
          <w:tcPr>
            <w:tcW w:w="1925" w:type="dxa"/>
          </w:tcPr>
          <w:p w14:paraId="500550BB"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4 days</w:t>
            </w:r>
          </w:p>
        </w:tc>
        <w:tc>
          <w:tcPr>
            <w:tcW w:w="2424" w:type="dxa"/>
          </w:tcPr>
          <w:p w14:paraId="76F6F953"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{"citationID":"KeloarX0","properties":{"formattedCitation":"(Murgue {\\i{}et al.}, 2000)","plainCitation":"(Murgue et al., 2000)","noteIndex":0},"citationItems":[{"id":155,"uris":["http://zotero.org/groups/5139113/items/2MAL72LE"],"itemData":{"id":155,"type":"article-journal","container-title":"Journal of Medical Virology","DOI":"10.1002/(SICI)1096-9071(200004)60:4&lt;432::AID-JMV11&gt;3.0.CO;2-7","ISSN":"0146-6615, 1096-9071","issue":"4","journalAbbreviation":"J. Med. Virol.","language":"en","page":"432-438","source":"DOI.org (Crossref)","title":"Prospective study of the duration and magnitude of viraemia in children hospitalised during the 1996-1997 dengue-2 outbreak in French Polynesia","volume":"60","author":[{"family":"Murgue","given":"Bernadette"},{"family":"Roche","given":"Claudine"},{"family":"Chungue","given":"Eliane"},{"family":"Deparis","given":"Xavier"}],"issued":{"date-parts":[["2000",4]]}}}],"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 xml:space="preserve">(Murgue </w:t>
            </w:r>
            <w:r w:rsidRPr="00804A38">
              <w:rPr>
                <w:rFonts w:ascii="Arial" w:eastAsia="Arial" w:hAnsi="Arial" w:cs="Arial"/>
                <w:i/>
                <w:iCs/>
                <w:kern w:val="0"/>
                <w:sz w:val="22"/>
                <w:szCs w:val="22"/>
              </w:rPr>
              <w:t>et al.</w:t>
            </w:r>
            <w:r w:rsidRPr="00804A38">
              <w:rPr>
                <w:rFonts w:ascii="Arial" w:eastAsia="Arial" w:hAnsi="Arial" w:cs="Arial"/>
                <w:kern w:val="0"/>
                <w:sz w:val="22"/>
                <w:szCs w:val="22"/>
              </w:rPr>
              <w:t>, 2000)</w:t>
            </w:r>
            <w:r w:rsidRPr="00804A38">
              <w:rPr>
                <w:rFonts w:ascii="Arial" w:eastAsia="Times New Roman" w:hAnsi="Arial" w:cs="Arial"/>
                <w:kern w:val="0"/>
                <w:sz w:val="22"/>
                <w:szCs w:val="22"/>
                <w14:ligatures w14:val="none"/>
              </w:rPr>
              <w:fldChar w:fldCharType="end"/>
            </w:r>
          </w:p>
        </w:tc>
        <w:tc>
          <w:tcPr>
            <w:tcW w:w="2509" w:type="dxa"/>
          </w:tcPr>
          <w:p w14:paraId="7BC7D026"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1824FC7E" w14:textId="77777777" w:rsidTr="00B972BC">
        <w:tc>
          <w:tcPr>
            <w:tcW w:w="1415" w:type="dxa"/>
          </w:tcPr>
          <w:p w14:paraId="1829C158" w14:textId="77777777" w:rsidR="00244982" w:rsidRPr="00804A38" w:rsidRDefault="00000000" w:rsidP="00B972BC">
            <w:pPr>
              <w:spacing w:line="360" w:lineRule="auto"/>
              <w:jc w:val="center"/>
              <w:rPr>
                <w:rFonts w:ascii="Arial" w:eastAsia="Arial" w:hAnsi="Arial" w:cs="Arial"/>
                <w:b/>
                <w:bCs/>
                <w:kern w:val="0"/>
                <w:sz w:val="22"/>
                <w:szCs w:val="22"/>
                <w14:ligatures w14:val="none"/>
              </w:rPr>
            </w:pPr>
            <m:oMathPara>
              <m:oMath>
                <m:f>
                  <m:fPr>
                    <m:ctrlPr>
                      <w:rPr>
                        <w:rFonts w:ascii="Cambria Math" w:eastAsia="Times New Roman" w:hAnsi="Cambria Math" w:cs="Arial"/>
                        <w:b/>
                        <w:bCs/>
                        <w:kern w:val="0"/>
                        <w:sz w:val="22"/>
                        <w:szCs w:val="22"/>
                        <w14:ligatures w14:val="none"/>
                      </w:rPr>
                    </m:ctrlPr>
                  </m:fPr>
                  <m:num>
                    <m:r>
                      <m:rPr>
                        <m:sty m:val="bi"/>
                      </m:rPr>
                      <w:rPr>
                        <w:rFonts w:ascii="Cambria Math" w:eastAsia="Times New Roman" w:hAnsi="Cambria Math" w:cs="Arial"/>
                        <w:kern w:val="0"/>
                        <w:sz w:val="22"/>
                        <w:szCs w:val="22"/>
                        <w14:ligatures w14:val="none"/>
                      </w:rPr>
                      <m:t>1</m:t>
                    </m:r>
                    <m:ctrlPr>
                      <w:rPr>
                        <w:rFonts w:ascii="Cambria Math" w:eastAsia="Times New Roman" w:hAnsi="Cambria Math" w:cs="Arial"/>
                        <w:b/>
                        <w:bCs/>
                        <w:i/>
                        <w:kern w:val="0"/>
                        <w:sz w:val="22"/>
                        <w:szCs w:val="22"/>
                        <w14:ligatures w14:val="none"/>
                      </w:rPr>
                    </m:ctrlPr>
                  </m:num>
                  <m:den>
                    <m:r>
                      <m:rPr>
                        <m:sty m:val="b"/>
                      </m:rPr>
                      <w:rPr>
                        <w:rFonts w:ascii="Cambria Math" w:eastAsia="Times New Roman" w:hAnsi="Cambria Math" w:cs="Arial"/>
                        <w:kern w:val="0"/>
                        <w:sz w:val="22"/>
                        <w:szCs w:val="22"/>
                        <w14:ligatures w14:val="none"/>
                      </w:rPr>
                      <m:t>α</m:t>
                    </m:r>
                    <m:ctrlPr>
                      <w:rPr>
                        <w:rFonts w:ascii="Cambria Math" w:eastAsia="Times New Roman" w:hAnsi="Cambria Math" w:cs="Arial"/>
                        <w:b/>
                        <w:bCs/>
                        <w:i/>
                        <w:kern w:val="0"/>
                        <w:sz w:val="22"/>
                        <w:szCs w:val="22"/>
                        <w14:ligatures w14:val="none"/>
                      </w:rPr>
                    </m:ctrlPr>
                  </m:den>
                </m:f>
              </m:oMath>
            </m:oMathPara>
          </w:p>
          <w:p w14:paraId="14EB04DE" w14:textId="77777777" w:rsidR="00244982" w:rsidRPr="00804A38" w:rsidRDefault="00244982" w:rsidP="00B972BC">
            <w:pPr>
              <w:spacing w:line="360" w:lineRule="auto"/>
              <w:rPr>
                <w:rFonts w:ascii="Arial" w:eastAsia="Arial" w:hAnsi="Arial" w:cs="Arial"/>
                <w:b/>
                <w:bCs/>
                <w:kern w:val="0"/>
                <w:sz w:val="22"/>
                <w:szCs w:val="22"/>
                <w14:ligatures w14:val="none"/>
              </w:rPr>
            </w:pPr>
          </w:p>
        </w:tc>
        <w:tc>
          <w:tcPr>
            <w:tcW w:w="1611" w:type="dxa"/>
          </w:tcPr>
          <w:p w14:paraId="17267F75"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Duration of heterologous protection from infection n</w:t>
            </w:r>
          </w:p>
        </w:tc>
        <w:tc>
          <w:tcPr>
            <w:tcW w:w="1925" w:type="dxa"/>
          </w:tcPr>
          <w:p w14:paraId="3AF477EE"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1 year</w:t>
            </w:r>
          </w:p>
        </w:tc>
        <w:tc>
          <w:tcPr>
            <w:tcW w:w="2424" w:type="dxa"/>
          </w:tcPr>
          <w:p w14:paraId="4FA9C9CA"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{"citationID":"zD5JckwH","properties":{"formattedCitation":"(Anderson {\\i{}et al.}, 2014; Flasche {\\i{}et al.}, 2016)","plainCitation":"(Anderson et al., 2014; Flasche et al., 2016)","noteIndex":0},"citationItems":[{"id":161,"uris":["http://zotero.org/groups/5139113/items/AHNSJZ4E"],"itemData":{"id":161,"type":"article-journal","container-title":"The Journal of Infectious Diseases","DOI":"10.1093/infdis/jit436","ISSN":"1537-6613, 0022-1899","issue":"3","language":"en","page":"360-368","source":"DOI.org (Crossref)","title":"A Shorter Time Interval Between First and Second Dengue Infections Is Associated With Protection From Clinical Illness in a School-based Cohort in Thailand","volume":"209","author":[{"family":"Anderson","given":"Kathryn B."},{"family":"Gibbons","given":"Robert V."},{"family":"Cummings","given":"Derek A.T."},{"family":"Nisalak","given":"Ananda"},{"family":"Green","given":"Sharone"},{"family":"Libraty","given":"Daniel H."},{"family":"Jarman","given":"Richard G."},{"family":"Srikiatkhachorn","given":"Anon"},{"family":"Mammen","given":"Mammen P."},{"family":"Darunee","given":"Buddhari"},{"family":"Yoon","given":"In-Kyu"},{"family":"Endy","given":"Timothy P."}],"issued":{"date-parts":[["2014",2,1]]}}},{"id":85,"uris":["http://zotero.org/groups/5139113/items/HXMFJZX5"],"itemData":{"id":85,"type":"article-journal","container-title":"PLOS Medicine","DOI":"10.1371/journal.pmed.1002181","ISSN":"1549-1676","issue":"11","journalAbbreviation":"PLoS Med","language":"en","page":"e1002181","source":"DOI.org (Crossref)","title":"The Long-Term Safety, Public Health Impact, and Cost-Effectiveness of Routine Vaccination with a Recombinant, Live-Attenuated Dengue Vaccine (Dengvaxia): A Model Comparison Study","title-short":"The Long-Term Safety, Public Health Impact, and Cost-Effectiveness of Routine Vaccination with a Recombinant, Live-Attenuated Dengue Vaccine (Dengvaxia)","volume":"13","author":[{"family":"Flasche","given":"Stefan"},{"family":"Jit","given":"Mark"},{"family":"Rodríguez-Barraquer","given":"Isabel"},{"family":"Coudeville","given":"Laurent"},{"family":"Recker","given":"Mario"},{"family":"Koelle","given":"Katia"},{"family":"Milne","given":"George"},{"family":"Hladish","given":"Thomas J."},{"family":"Perkins","given":"T. Alex"},{"family":"Cummings","given":"Derek A. T."},{"family":"Dorigatti","given":"Ilaria"},{"family":"Laydon","given":"Daniel J."},{"family":"España","given":"Guido"},{"family":"Kelso","given":"Joel"},{"family":"Longini","given":"Ira"},{"family":"Lourenco","given":"Jose"},{"family":"Pearson","given":"Carl A. B."},{"family":"Reiner","given":"Robert C."},{"family":"Mier-y-Terán-Romero","given":"Luis"},{"family":"Vannice","given":"Kirsten"},{"family":"Ferguson","given":"Neil"}],"editor":[{"family":"Von Seidlein","given":"Lorenz"}],"issued":{"date-parts":[["2016",11,29]]}}}],"schema":"https://github.com/citation-style-language/schema/raw/master/csl-citation.json"}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 xml:space="preserve">(Anderson </w:t>
            </w:r>
            <w:r w:rsidRPr="00804A38">
              <w:rPr>
                <w:rFonts w:ascii="Arial" w:eastAsia="Arial" w:hAnsi="Arial" w:cs="Arial"/>
                <w:i/>
                <w:iCs/>
                <w:kern w:val="0"/>
                <w:sz w:val="22"/>
                <w:szCs w:val="22"/>
              </w:rPr>
              <w:t>et al.</w:t>
            </w:r>
            <w:r w:rsidRPr="00804A38">
              <w:rPr>
                <w:rFonts w:ascii="Arial" w:eastAsia="Arial" w:hAnsi="Arial" w:cs="Arial"/>
                <w:kern w:val="0"/>
                <w:sz w:val="22"/>
                <w:szCs w:val="22"/>
              </w:rPr>
              <w:t>, 2014)</w:t>
            </w:r>
            <w:r w:rsidRPr="00804A38">
              <w:rPr>
                <w:rFonts w:ascii="Arial" w:eastAsia="Times New Roman" w:hAnsi="Arial" w:cs="Arial"/>
                <w:kern w:val="0"/>
                <w:sz w:val="22"/>
                <w:szCs w:val="22"/>
                <w14:ligatures w14:val="none"/>
              </w:rPr>
              <w:fldChar w:fldCharType="end"/>
            </w:r>
          </w:p>
          <w:p w14:paraId="3FAF2C8A"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 xml:space="preserve"> </w:t>
            </w:r>
          </w:p>
        </w:tc>
        <w:tc>
          <w:tcPr>
            <w:tcW w:w="2509" w:type="dxa"/>
          </w:tcPr>
          <w:p w14:paraId="3E4C8206"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sz w:val="22"/>
                <w:szCs w:val="22"/>
              </w:rPr>
              <w:t>To be varied in sensitivity analysis</w:t>
            </w:r>
          </w:p>
        </w:tc>
      </w:tr>
      <w:tr w:rsidR="00244982" w:rsidRPr="00804A38" w14:paraId="2C383F60" w14:textId="77777777" w:rsidTr="00B972BC">
        <w:tc>
          <w:tcPr>
            <w:tcW w:w="1415" w:type="dxa"/>
          </w:tcPr>
          <w:p w14:paraId="5DF73F38" w14:textId="77777777" w:rsidR="00244982" w:rsidRPr="00804A38" w:rsidRDefault="00244982" w:rsidP="00B972BC">
            <w:pPr>
              <w:spacing w:line="360" w:lineRule="auto"/>
              <w:jc w:val="center"/>
              <w:rPr>
                <w:rFonts w:ascii="Arial" w:eastAsia="Arial" w:hAnsi="Arial" w:cs="Arial"/>
                <w:b/>
                <w:bCs/>
                <w:color w:val="000000"/>
                <w:kern w:val="0"/>
                <w:sz w:val="22"/>
                <w:szCs w:val="22"/>
                <w14:ligatures w14:val="none"/>
              </w:rPr>
            </w:pPr>
            <m:oMathPara>
              <m:oMath>
                <m:r>
                  <m:rPr>
                    <m:sty m:val="bi"/>
                  </m:rPr>
                  <w:rPr>
                    <w:rFonts w:ascii="Cambria Math" w:eastAsia="Times New Roman" w:hAnsi="Cambria Math" w:cs="Arial"/>
                    <w:color w:val="000000"/>
                    <w:kern w:val="0"/>
                    <w:sz w:val="22"/>
                    <w:szCs w:val="22"/>
                    <w14:ligatures w14:val="none"/>
                  </w:rPr>
                  <m:t>b</m:t>
                </m:r>
              </m:oMath>
            </m:oMathPara>
          </w:p>
          <w:p w14:paraId="71413230"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6D2F5C63"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Mosquito biting rate </w:t>
            </w:r>
          </w:p>
        </w:tc>
        <w:tc>
          <w:tcPr>
            <w:tcW w:w="1925" w:type="dxa"/>
          </w:tcPr>
          <w:p w14:paraId="4CF83308"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Will be parametrized from the estimate of FOI</w:t>
            </w:r>
          </w:p>
        </w:tc>
        <w:tc>
          <w:tcPr>
            <w:tcW w:w="2424" w:type="dxa"/>
          </w:tcPr>
          <w:p w14:paraId="68CA977D"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3F229198"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512A9073" w14:textId="77777777" w:rsidTr="00B972BC">
        <w:tc>
          <w:tcPr>
            <w:tcW w:w="1415" w:type="dxa"/>
          </w:tcPr>
          <w:p w14:paraId="04E40079" w14:textId="77777777" w:rsidR="00244982" w:rsidRPr="00804A38" w:rsidRDefault="00000000" w:rsidP="00B972BC">
            <w:pPr>
              <w:spacing w:line="360" w:lineRule="auto"/>
              <w:jc w:val="center"/>
              <w:rPr>
                <w:rFonts w:ascii="Arial" w:eastAsia="Arial" w:hAnsi="Arial" w:cs="Arial"/>
                <w:b/>
                <w:bCs/>
                <w:color w:val="000000"/>
                <w:kern w:val="0"/>
                <w:sz w:val="22"/>
                <w:szCs w:val="22"/>
                <w14:ligatures w14:val="none"/>
              </w:rPr>
            </w:pPr>
            <m:oMathPara>
              <m:oMath>
                <m:sSup>
                  <m:sSupPr>
                    <m:ctrlPr>
                      <w:rPr>
                        <w:rFonts w:ascii="Cambria Math" w:eastAsia="Times New Roman" w:hAnsi="Cambria Math" w:cs="Arial"/>
                        <w:b/>
                        <w:bCs/>
                        <w:i/>
                        <w:color w:val="000000"/>
                        <w:kern w:val="0"/>
                        <w:sz w:val="22"/>
                        <w:szCs w:val="22"/>
                        <w14:ligatures w14:val="none"/>
                      </w:rPr>
                    </m:ctrlPr>
                  </m:sSupPr>
                  <m:e>
                    <m:r>
                      <m:rPr>
                        <m:sty m:val="b"/>
                      </m:rPr>
                      <w:rPr>
                        <w:rFonts w:ascii="Cambria Math" w:eastAsia="Times New Roman" w:hAnsi="Cambria Math" w:cs="Arial"/>
                        <w:color w:val="000000"/>
                        <w:kern w:val="0"/>
                        <w:sz w:val="22"/>
                        <w:szCs w:val="22"/>
                        <w14:ligatures w14:val="none"/>
                      </w:rPr>
                      <m:t>β</m:t>
                    </m:r>
                    <m:ctrlPr>
                      <w:rPr>
                        <w:rFonts w:ascii="Cambria Math" w:eastAsia="Times New Roman" w:hAnsi="Cambria Math" w:cs="Arial"/>
                        <w:b/>
                        <w:bCs/>
                        <w:color w:val="000000"/>
                        <w:kern w:val="0"/>
                        <w:sz w:val="22"/>
                        <w:szCs w:val="22"/>
                        <w14:ligatures w14:val="none"/>
                      </w:rPr>
                    </m:ctrlPr>
                  </m:e>
                  <m:sup>
                    <m:r>
                      <m:rPr>
                        <m:sty m:val="bi"/>
                      </m:rPr>
                      <w:rPr>
                        <w:rFonts w:ascii="Cambria Math" w:eastAsia="Times New Roman" w:hAnsi="Cambria Math" w:cs="Arial"/>
                        <w:color w:val="000000"/>
                        <w:kern w:val="0"/>
                        <w:sz w:val="22"/>
                        <w:szCs w:val="22"/>
                        <w14:ligatures w14:val="none"/>
                      </w:rPr>
                      <m:t>m</m:t>
                    </m:r>
                  </m:sup>
                </m:sSup>
              </m:oMath>
            </m:oMathPara>
          </w:p>
          <w:p w14:paraId="39F2D715"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34321227"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Per bite probability of transmission from infected mosquito to human </w:t>
            </w:r>
          </w:p>
        </w:tc>
        <w:tc>
          <w:tcPr>
            <w:tcW w:w="1925" w:type="dxa"/>
          </w:tcPr>
          <w:p w14:paraId="7FEF2D9E"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Will be parametrized from the estimate of FOI</w:t>
            </w:r>
          </w:p>
        </w:tc>
        <w:tc>
          <w:tcPr>
            <w:tcW w:w="2424" w:type="dxa"/>
          </w:tcPr>
          <w:p w14:paraId="15B6033B"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02A6B997"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038D1784" w14:textId="77777777" w:rsidTr="00B972BC">
        <w:tc>
          <w:tcPr>
            <w:tcW w:w="1415" w:type="dxa"/>
          </w:tcPr>
          <w:p w14:paraId="68F46744" w14:textId="77777777" w:rsidR="00244982" w:rsidRPr="00804A38" w:rsidRDefault="00000000" w:rsidP="00B972BC">
            <w:pPr>
              <w:spacing w:line="360" w:lineRule="auto"/>
              <w:jc w:val="center"/>
              <w:rPr>
                <w:rFonts w:ascii="Arial" w:eastAsia="Arial" w:hAnsi="Arial" w:cs="Arial"/>
                <w:b/>
                <w:bCs/>
                <w:color w:val="000000"/>
                <w:kern w:val="0"/>
                <w:sz w:val="22"/>
                <w:szCs w:val="22"/>
                <w14:ligatures w14:val="none"/>
              </w:rPr>
            </w:pPr>
            <m:oMathPara>
              <m:oMath>
                <m:sSup>
                  <m:sSupPr>
                    <m:ctrlPr>
                      <w:rPr>
                        <w:rFonts w:ascii="Cambria Math" w:eastAsia="Times New Roman" w:hAnsi="Cambria Math" w:cs="Arial"/>
                        <w:b/>
                        <w:bCs/>
                        <w:i/>
                        <w:color w:val="000000"/>
                        <w:kern w:val="0"/>
                        <w:sz w:val="22"/>
                        <w:szCs w:val="22"/>
                        <w14:ligatures w14:val="none"/>
                      </w:rPr>
                    </m:ctrlPr>
                  </m:sSupPr>
                  <m:e>
                    <m:r>
                      <m:rPr>
                        <m:sty m:val="b"/>
                      </m:rPr>
                      <w:rPr>
                        <w:rFonts w:ascii="Cambria Math" w:eastAsia="Times New Roman" w:hAnsi="Cambria Math" w:cs="Arial"/>
                        <w:color w:val="000000"/>
                        <w:kern w:val="0"/>
                        <w:sz w:val="22"/>
                        <w:szCs w:val="22"/>
                        <w14:ligatures w14:val="none"/>
                      </w:rPr>
                      <m:t>β</m:t>
                    </m:r>
                    <m:ctrlPr>
                      <w:rPr>
                        <w:rFonts w:ascii="Cambria Math" w:eastAsia="Times New Roman" w:hAnsi="Cambria Math" w:cs="Arial"/>
                        <w:b/>
                        <w:bCs/>
                        <w:color w:val="000000"/>
                        <w:kern w:val="0"/>
                        <w:sz w:val="22"/>
                        <w:szCs w:val="22"/>
                        <w14:ligatures w14:val="none"/>
                      </w:rPr>
                    </m:ctrlPr>
                  </m:e>
                  <m:sup>
                    <m:r>
                      <m:rPr>
                        <m:sty m:val="bi"/>
                      </m:rPr>
                      <w:rPr>
                        <w:rFonts w:ascii="Cambria Math" w:eastAsia="Times New Roman" w:hAnsi="Cambria Math" w:cs="Arial"/>
                        <w:color w:val="000000"/>
                        <w:kern w:val="0"/>
                        <w:sz w:val="22"/>
                        <w:szCs w:val="22"/>
                        <w14:ligatures w14:val="none"/>
                      </w:rPr>
                      <m:t>h</m:t>
                    </m:r>
                  </m:sup>
                </m:sSup>
              </m:oMath>
            </m:oMathPara>
          </w:p>
          <w:p w14:paraId="032A843B"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111F8DD3"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color w:val="000000"/>
                <w:kern w:val="0"/>
                <w:sz w:val="22"/>
                <w:szCs w:val="22"/>
                <w14:ligatures w14:val="none"/>
              </w:rPr>
              <w:t>Per bite probability of transmission from infected human</w:t>
            </w:r>
          </w:p>
          <w:p w14:paraId="02908896"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to mosquito </w:t>
            </w:r>
          </w:p>
        </w:tc>
        <w:tc>
          <w:tcPr>
            <w:tcW w:w="1925" w:type="dxa"/>
          </w:tcPr>
          <w:p w14:paraId="7DD49E0F"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Will be parametrized from the estimate of FOI</w:t>
            </w:r>
          </w:p>
        </w:tc>
        <w:tc>
          <w:tcPr>
            <w:tcW w:w="2424" w:type="dxa"/>
          </w:tcPr>
          <w:p w14:paraId="60C08ECD"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563327DC"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6FDD3C19" w14:textId="77777777" w:rsidTr="00B972BC">
        <w:tc>
          <w:tcPr>
            <w:tcW w:w="1415" w:type="dxa"/>
          </w:tcPr>
          <w:p w14:paraId="56CBC857" w14:textId="77777777" w:rsidR="00244982" w:rsidRPr="00804A38" w:rsidRDefault="00000000" w:rsidP="00B972BC">
            <w:pPr>
              <w:spacing w:line="360" w:lineRule="auto"/>
              <w:jc w:val="center"/>
              <w:rPr>
                <w:rFonts w:ascii="Arial" w:eastAsia="Arial" w:hAnsi="Arial" w:cs="Arial"/>
                <w:b/>
                <w:bCs/>
                <w:color w:val="000000"/>
                <w:kern w:val="0"/>
                <w:sz w:val="22"/>
                <w:szCs w:val="22"/>
                <w14:ligatures w14:val="none"/>
              </w:rPr>
            </w:pPr>
            <m:oMathPara>
              <m:oMath>
                <m:f>
                  <m:fPr>
                    <m:ctrlPr>
                      <w:rPr>
                        <w:rFonts w:ascii="Cambria Math" w:eastAsia="Times New Roman" w:hAnsi="Cambria Math" w:cs="Arial"/>
                        <w:b/>
                        <w:bCs/>
                        <w:color w:val="000000"/>
                        <w:kern w:val="0"/>
                        <w:sz w:val="22"/>
                        <w:szCs w:val="22"/>
                        <w14:ligatures w14:val="none"/>
                      </w:rPr>
                    </m:ctrlPr>
                  </m:fPr>
                  <m:num>
                    <m:r>
                      <m:rPr>
                        <m:sty m:val="bi"/>
                      </m:rPr>
                      <w:rPr>
                        <w:rFonts w:ascii="Cambria Math" w:eastAsia="Times New Roman" w:hAnsi="Cambria Math" w:cs="Arial"/>
                        <w:color w:val="000000"/>
                        <w:kern w:val="0"/>
                        <w:sz w:val="22"/>
                        <w:szCs w:val="22"/>
                        <w14:ligatures w14:val="none"/>
                      </w:rPr>
                      <m:t>1</m:t>
                    </m:r>
                    <m:ctrlPr>
                      <w:rPr>
                        <w:rFonts w:ascii="Cambria Math" w:eastAsia="Times New Roman" w:hAnsi="Cambria Math" w:cs="Arial"/>
                        <w:b/>
                        <w:bCs/>
                        <w:i/>
                        <w:color w:val="000000"/>
                        <w:kern w:val="0"/>
                        <w:sz w:val="22"/>
                        <w:szCs w:val="22"/>
                        <w14:ligatures w14:val="none"/>
                      </w:rPr>
                    </m:ctrlPr>
                  </m:num>
                  <m:den>
                    <m:sSub>
                      <m:sSubPr>
                        <m:ctrlPr>
                          <w:rPr>
                            <w:rFonts w:ascii="Cambria Math" w:eastAsia="Times New Roman" w:hAnsi="Cambria Math" w:cs="Arial"/>
                            <w:b/>
                            <w:bCs/>
                            <w:i/>
                            <w:color w:val="000000"/>
                            <w:kern w:val="0"/>
                            <w:sz w:val="22"/>
                            <w:szCs w:val="22"/>
                            <w14:ligatures w14:val="none"/>
                          </w:rPr>
                        </m:ctrlPr>
                      </m:sSubPr>
                      <m:e>
                        <m:r>
                          <m:rPr>
                            <m:sty m:val="b"/>
                          </m:rPr>
                          <w:rPr>
                            <w:rFonts w:ascii="Cambria Math" w:eastAsia="Times New Roman" w:hAnsi="Cambria Math" w:cs="Arial"/>
                            <w:color w:val="000000"/>
                            <w:kern w:val="0"/>
                            <w:sz w:val="22"/>
                            <w:szCs w:val="22"/>
                            <w14:ligatures w14:val="none"/>
                          </w:rPr>
                          <m:t>σ</m:t>
                        </m:r>
                      </m:e>
                      <m:sub>
                        <m:r>
                          <m:rPr>
                            <m:sty m:val="bi"/>
                          </m:rPr>
                          <w:rPr>
                            <w:rFonts w:ascii="Cambria Math" w:eastAsia="Times New Roman" w:hAnsi="Cambria Math" w:cs="Arial"/>
                            <w:color w:val="000000"/>
                            <w:kern w:val="0"/>
                            <w:sz w:val="22"/>
                            <w:szCs w:val="22"/>
                            <w14:ligatures w14:val="none"/>
                          </w:rPr>
                          <m:t>m</m:t>
                        </m:r>
                      </m:sub>
                    </m:sSub>
                    <m:ctrlPr>
                      <w:rPr>
                        <w:rFonts w:ascii="Cambria Math" w:eastAsia="Times New Roman" w:hAnsi="Cambria Math" w:cs="Arial"/>
                        <w:b/>
                        <w:bCs/>
                        <w:i/>
                        <w:color w:val="000000"/>
                        <w:kern w:val="0"/>
                        <w:sz w:val="22"/>
                        <w:szCs w:val="22"/>
                        <w14:ligatures w14:val="none"/>
                      </w:rPr>
                    </m:ctrlPr>
                  </m:den>
                </m:f>
              </m:oMath>
            </m:oMathPara>
          </w:p>
          <w:p w14:paraId="62D1A3F2"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1F8B5BCC"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Mean extrinsic incubation period</w:t>
            </w:r>
          </w:p>
        </w:tc>
        <w:tc>
          <w:tcPr>
            <w:tcW w:w="1925" w:type="dxa"/>
          </w:tcPr>
          <w:p w14:paraId="404D75A1"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10 days</w:t>
            </w:r>
          </w:p>
        </w:tc>
        <w:tc>
          <w:tcPr>
            <w:tcW w:w="2424" w:type="dxa"/>
          </w:tcPr>
          <w:p w14:paraId="76A67721"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Times New Roman" w:hAnsi="Arial" w:cs="Arial"/>
                <w:kern w:val="0"/>
                <w:sz w:val="22"/>
                <w:szCs w:val="22"/>
                <w14:ligatures w14:val="none"/>
              </w:rPr>
              <w:fldChar w:fldCharType="begin"/>
            </w:r>
            <w:r w:rsidRPr="00804A38">
              <w:rPr>
                <w:rFonts w:ascii="Arial" w:eastAsia="Times New Roman" w:hAnsi="Arial" w:cs="Arial"/>
                <w:kern w:val="0"/>
                <w:sz w:val="22"/>
                <w:szCs w:val="22"/>
                <w14:ligatures w14:val="none"/>
              </w:rPr>
              <w:instrText xml:space="preserve"> ADDIN ZOTERO_ITEM CSL_CITATION {"citationID":"sHvXehkj","properties":{"formattedCitation":"(Whitmire {\\i{}et al.}, 1987; Salazar {\\i{}et al.}, 2007)","plainCitation":"(Whitmire et al., 1987; Salazar et al., 2007)","noteIndex":0},"citationItems":[{"id":158,"uris":["http://zotero.org/groups/5139113/items/4YHHVR5S"],"itemData":{"id":158,"type":"article-journal","container-title":"The American Journal of Tropical Medicine and Hygiene","DOI":"10.4269/ajtmh.1987.36.143","ISSN":"0002-9637, 1476-1645","issue":"1","language":"en","page":"143-152","source":"DOI.org (Crossref)","title":"Effect of Temperature on the Vector Efficiency of Aedes aegypti for Dengue 2 Virus","volume":"36","author":[{"family":"Whitmire","given":"Richard E."},{"family":"Burke","given":"Donald S."},{"family":"Nisalak","given":"Ananda"},{"family":"Harrison","given":"Bruce A."},{"family":"Watts","given":"Douglas M."}],"issued":{"date-parts":[["1987",1,1]]}}},{"id":156,"uris":["http://zotero.org/groups/5139113/items/ADAFNKNB"],"itemData":{"id":156,"type":"article-journal","abstract":"Abstract\n            \n              Background\n              \n                To be transmitted by its mosquito vector, dengue virus (DENV) must infect midgut epithelial cells, replicate and disseminate into the hemocoel, and finally infect the salivary glands, which is essential for transmission. The extrinsic incubation period (EIP) is very relevant epidemiologically and is the time required from the ingestion of virus until it can be transmitted to the next vertebrate host. The EIP is conditioned by the kinetics and tropisms of virus replication in its vector. Here we document the virogenesis of DENV-2 in newly-colonized\n                Aedes aegypti\n                mosquitoes from Chetumal, Mexico in order to understand better the effect of vector-virus interactions on dengue transmission.\n              \n            \n            \n              Results\n              After ingestion of DENV-2, midgut infections in Chetumal mosquitoes were characterized by a peak in virus titers between 7 and 10 days post-infection (dpi). The amount of viral antigen and viral titers in the midgut then declined, but viral RNA levels remained stable. The presence of DENV-2 antigen in the trachea was positively correlated with virus dissemination from the midgut. DENV-2 antigen was found in salivary gland tissue in more than a third of mosquitoes at 4 dpi. Unlike in the midgut, the amount of viral antigen (as well as the percent of infected salivary glands) increased with time. DENV-2 antigen also accumulated and increased in neural tissue throughout the EIP. DENV-2 antigen was detected in multiple tissues of the vector, but unlike some other arboviruses, was not detected in muscle.\n            \n            \n              Conclusion\n              Our results suggest that the EIP of DENV-2 in its vector may be shorter that the previously reported and that the tracheal system may facilitate DENV-2 dissemination from the midgut. Mosquito organs (e.g. midgut, neural tissue, and salivary glands) differed in their response to DENV-2 infection.","container-title":"BMC Microbiology","DOI":"10.1186/1471-2180-7-9","ISSN":"1471-2180","issue":"1","journalAbbreviation":"BMC Microbiol","language":"en","page":"9","source":"DOI.org (Crossref)","title":"Dengue virus type 2: replication and tropisms in orally infected Aedes aegypti mosquitoes","title-short":"Dengue virus type 2","volume":"7","author":[{"family":"Salazar","given":"Ma Isabel"},{"family":"Richardson","given":"Jason H"},{"family":"Sánchez-Vargas","given":"Irma"},{"family":"Olson","given":"Ken E"},{"family":"Beaty","given":"Barry J"}],"issued":{"date-parts":[["2007",12]]}}}],"schema":"https://github.com/citation-style-language/schema/raw/master/csl-citation.json"} </w:instrText>
            </w:r>
            <w:r w:rsidRPr="00804A38">
              <w:rPr>
                <w:rFonts w:ascii="Arial" w:eastAsia="Times New Roman" w:hAnsi="Arial" w:cs="Arial"/>
                <w:kern w:val="0"/>
                <w:sz w:val="22"/>
                <w:szCs w:val="22"/>
                <w14:ligatures w14:val="none"/>
              </w:rPr>
              <w:fldChar w:fldCharType="separate"/>
            </w:r>
            <w:r w:rsidRPr="00804A38">
              <w:rPr>
                <w:rFonts w:ascii="Arial" w:eastAsia="Arial" w:hAnsi="Arial" w:cs="Arial"/>
                <w:kern w:val="0"/>
                <w:sz w:val="22"/>
                <w:szCs w:val="22"/>
              </w:rPr>
              <w:t xml:space="preserve">(Whitmire </w:t>
            </w:r>
            <w:r w:rsidRPr="00804A38">
              <w:rPr>
                <w:rFonts w:ascii="Arial" w:eastAsia="Arial" w:hAnsi="Arial" w:cs="Arial"/>
                <w:i/>
                <w:iCs/>
                <w:kern w:val="0"/>
                <w:sz w:val="22"/>
                <w:szCs w:val="22"/>
              </w:rPr>
              <w:t>et al.</w:t>
            </w:r>
            <w:r w:rsidRPr="00804A38">
              <w:rPr>
                <w:rFonts w:ascii="Arial" w:eastAsia="Arial" w:hAnsi="Arial" w:cs="Arial"/>
                <w:kern w:val="0"/>
                <w:sz w:val="22"/>
                <w:szCs w:val="22"/>
              </w:rPr>
              <w:t xml:space="preserve">, 1987; Salazar </w:t>
            </w:r>
            <w:r w:rsidRPr="00804A38">
              <w:rPr>
                <w:rFonts w:ascii="Arial" w:eastAsia="Arial" w:hAnsi="Arial" w:cs="Arial"/>
                <w:i/>
                <w:iCs/>
                <w:kern w:val="0"/>
                <w:sz w:val="22"/>
                <w:szCs w:val="22"/>
              </w:rPr>
              <w:t>et al.</w:t>
            </w:r>
            <w:r w:rsidRPr="00804A38">
              <w:rPr>
                <w:rFonts w:ascii="Arial" w:eastAsia="Arial" w:hAnsi="Arial" w:cs="Arial"/>
                <w:kern w:val="0"/>
                <w:sz w:val="22"/>
                <w:szCs w:val="22"/>
              </w:rPr>
              <w:t>, 2007)</w:t>
            </w:r>
            <w:r w:rsidRPr="00804A38">
              <w:rPr>
                <w:rFonts w:ascii="Arial" w:eastAsia="Times New Roman" w:hAnsi="Arial" w:cs="Arial"/>
                <w:kern w:val="0"/>
                <w:sz w:val="22"/>
                <w:szCs w:val="22"/>
                <w14:ligatures w14:val="none"/>
              </w:rPr>
              <w:fldChar w:fldCharType="end"/>
            </w:r>
          </w:p>
        </w:tc>
        <w:tc>
          <w:tcPr>
            <w:tcW w:w="2509" w:type="dxa"/>
          </w:tcPr>
          <w:p w14:paraId="6B351E6D"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77C40EF9" w14:textId="77777777" w:rsidTr="00B972BC">
        <w:tc>
          <w:tcPr>
            <w:tcW w:w="1415" w:type="dxa"/>
          </w:tcPr>
          <w:p w14:paraId="155778B4" w14:textId="77777777" w:rsidR="00244982" w:rsidRPr="00804A38" w:rsidRDefault="00000000" w:rsidP="00B972BC">
            <w:pPr>
              <w:spacing w:line="360" w:lineRule="auto"/>
              <w:jc w:val="center"/>
              <w:rPr>
                <w:rFonts w:ascii="Arial" w:eastAsia="Arial" w:hAnsi="Arial" w:cs="Arial"/>
                <w:b/>
                <w:bCs/>
                <w:color w:val="000000"/>
                <w:kern w:val="0"/>
                <w:sz w:val="22"/>
                <w:szCs w:val="22"/>
                <w14:ligatures w14:val="none"/>
              </w:rPr>
            </w:pPr>
            <m:oMathPara>
              <m:oMath>
                <m:sSup>
                  <m:sSupPr>
                    <m:ctrlPr>
                      <w:rPr>
                        <w:rFonts w:ascii="Cambria Math" w:eastAsia="Times New Roman" w:hAnsi="Cambria Math" w:cs="Arial"/>
                        <w:b/>
                        <w:bCs/>
                        <w:i/>
                        <w:color w:val="000000"/>
                        <w:kern w:val="0"/>
                        <w:sz w:val="22"/>
                        <w:szCs w:val="22"/>
                        <w14:ligatures w14:val="none"/>
                      </w:rPr>
                    </m:ctrlPr>
                  </m:sSupPr>
                  <m:e>
                    <m:r>
                      <m:rPr>
                        <m:sty m:val="b"/>
                      </m:rPr>
                      <w:rPr>
                        <w:rFonts w:ascii="Cambria Math" w:eastAsia="Times New Roman" w:hAnsi="Cambria Math" w:cs="Arial"/>
                        <w:color w:val="000000"/>
                        <w:kern w:val="0"/>
                        <w:sz w:val="22"/>
                        <w:szCs w:val="22"/>
                        <w14:ligatures w14:val="none"/>
                      </w:rPr>
                      <m:t>Λ</m:t>
                    </m:r>
                    <m:ctrlPr>
                      <w:rPr>
                        <w:rFonts w:ascii="Cambria Math" w:eastAsia="Times New Roman" w:hAnsi="Cambria Math" w:cs="Arial"/>
                        <w:b/>
                        <w:bCs/>
                        <w:color w:val="000000"/>
                        <w:kern w:val="0"/>
                        <w:sz w:val="22"/>
                        <w:szCs w:val="22"/>
                        <w14:ligatures w14:val="none"/>
                      </w:rPr>
                    </m:ctrlPr>
                  </m:e>
                  <m:sup>
                    <m:r>
                      <m:rPr>
                        <m:sty m:val="bi"/>
                      </m:rPr>
                      <w:rPr>
                        <w:rFonts w:ascii="Cambria Math" w:eastAsia="Times New Roman" w:hAnsi="Cambria Math" w:cs="Arial"/>
                        <w:color w:val="000000"/>
                        <w:kern w:val="0"/>
                        <w:sz w:val="22"/>
                        <w:szCs w:val="22"/>
                        <w14:ligatures w14:val="none"/>
                      </w:rPr>
                      <m:t>m</m:t>
                    </m:r>
                  </m:sup>
                </m:sSup>
              </m:oMath>
            </m:oMathPara>
          </w:p>
          <w:p w14:paraId="57BE6157"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3DA9192D"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Recruitment rate of mosquito</w:t>
            </w:r>
          </w:p>
        </w:tc>
        <w:tc>
          <w:tcPr>
            <w:tcW w:w="1925" w:type="dxa"/>
          </w:tcPr>
          <w:p w14:paraId="1B37B3A2"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Adjusted according to total human population</w:t>
            </w:r>
          </w:p>
        </w:tc>
        <w:tc>
          <w:tcPr>
            <w:tcW w:w="2424" w:type="dxa"/>
          </w:tcPr>
          <w:p w14:paraId="42F310FD"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01DF8A2A" w14:textId="77777777" w:rsidR="00244982" w:rsidRPr="00804A38" w:rsidRDefault="00244982" w:rsidP="00B972BC">
            <w:pPr>
              <w:spacing w:line="360" w:lineRule="auto"/>
              <w:rPr>
                <w:rFonts w:ascii="Arial" w:eastAsia="Arial" w:hAnsi="Arial" w:cs="Arial"/>
                <w:kern w:val="0"/>
                <w:sz w:val="22"/>
                <w:szCs w:val="22"/>
                <w14:ligatures w14:val="none"/>
              </w:rPr>
            </w:pPr>
          </w:p>
        </w:tc>
      </w:tr>
      <w:tr w:rsidR="00244982" w:rsidRPr="00804A38" w14:paraId="024011D6" w14:textId="77777777" w:rsidTr="00B972BC">
        <w:tc>
          <w:tcPr>
            <w:tcW w:w="1415" w:type="dxa"/>
          </w:tcPr>
          <w:p w14:paraId="377F5C9F" w14:textId="77777777" w:rsidR="00244982" w:rsidRPr="00804A38" w:rsidRDefault="00000000" w:rsidP="00B972BC">
            <w:pPr>
              <w:spacing w:line="360" w:lineRule="auto"/>
              <w:jc w:val="center"/>
              <w:rPr>
                <w:rFonts w:ascii="Arial" w:eastAsia="Arial" w:hAnsi="Arial" w:cs="Arial"/>
                <w:b/>
                <w:bCs/>
                <w:color w:val="000000"/>
                <w:kern w:val="0"/>
                <w:sz w:val="22"/>
                <w:szCs w:val="22"/>
                <w14:ligatures w14:val="none"/>
              </w:rPr>
            </w:pPr>
            <m:oMathPara>
              <m:oMath>
                <m:sSup>
                  <m:sSupPr>
                    <m:ctrlPr>
                      <w:rPr>
                        <w:rFonts w:ascii="Cambria Math" w:eastAsia="Aptos" w:hAnsi="Cambria Math" w:cs="Arial"/>
                        <w:b/>
                        <w:bCs/>
                        <w:i/>
                        <w:color w:val="000000"/>
                        <w:kern w:val="0"/>
                        <w:sz w:val="22"/>
                        <w:szCs w:val="22"/>
                        <w14:ligatures w14:val="none"/>
                      </w:rPr>
                    </m:ctrlPr>
                  </m:sSupPr>
                  <m:e>
                    <m:r>
                      <m:rPr>
                        <m:sty m:val="bi"/>
                      </m:rPr>
                      <w:rPr>
                        <w:rFonts w:ascii="Cambria Math" w:eastAsia="Aptos" w:hAnsi="Cambria Math" w:cs="Arial"/>
                        <w:color w:val="000000"/>
                        <w:kern w:val="0"/>
                        <w:sz w:val="22"/>
                        <w:szCs w:val="22"/>
                        <w14:ligatures w14:val="none"/>
                      </w:rPr>
                      <m:t>μ</m:t>
                    </m:r>
                  </m:e>
                  <m:sup>
                    <m:r>
                      <m:rPr>
                        <m:sty m:val="bi"/>
                      </m:rPr>
                      <w:rPr>
                        <w:rFonts w:ascii="Cambria Math" w:eastAsia="Aptos" w:hAnsi="Cambria Math" w:cs="Arial"/>
                        <w:color w:val="000000"/>
                        <w:kern w:val="0"/>
                        <w:sz w:val="22"/>
                        <w:szCs w:val="22"/>
                        <w14:ligatures w14:val="none"/>
                      </w:rPr>
                      <m:t>m</m:t>
                    </m:r>
                  </m:sup>
                </m:sSup>
              </m:oMath>
            </m:oMathPara>
          </w:p>
          <w:p w14:paraId="2C111B67" w14:textId="77777777" w:rsidR="00244982" w:rsidRPr="00804A38" w:rsidRDefault="00244982" w:rsidP="00B972BC">
            <w:pPr>
              <w:spacing w:line="360" w:lineRule="auto"/>
              <w:rPr>
                <w:rFonts w:ascii="Arial" w:eastAsia="Arial" w:hAnsi="Arial" w:cs="Arial"/>
                <w:b/>
                <w:bCs/>
                <w:color w:val="000000"/>
                <w:kern w:val="0"/>
                <w:sz w:val="22"/>
                <w:szCs w:val="22"/>
                <w14:ligatures w14:val="none"/>
              </w:rPr>
            </w:pPr>
          </w:p>
        </w:tc>
        <w:tc>
          <w:tcPr>
            <w:tcW w:w="1611" w:type="dxa"/>
          </w:tcPr>
          <w:p w14:paraId="2754F784" w14:textId="77777777" w:rsidR="00244982" w:rsidRPr="00804A38" w:rsidRDefault="00244982" w:rsidP="00B972BC">
            <w:pPr>
              <w:spacing w:line="360" w:lineRule="auto"/>
              <w:rPr>
                <w:rFonts w:ascii="Arial" w:eastAsia="Arial" w:hAnsi="Arial" w:cs="Arial"/>
                <w:color w:val="000000"/>
                <w:kern w:val="0"/>
                <w:sz w:val="22"/>
                <w:szCs w:val="22"/>
                <w14:ligatures w14:val="none"/>
              </w:rPr>
            </w:pPr>
            <w:r w:rsidRPr="00804A38">
              <w:rPr>
                <w:rFonts w:ascii="Arial" w:eastAsia="Arial" w:hAnsi="Arial" w:cs="Arial"/>
                <w:color w:val="000000"/>
                <w:kern w:val="0"/>
                <w:sz w:val="22"/>
                <w:szCs w:val="22"/>
                <w14:ligatures w14:val="none"/>
              </w:rPr>
              <w:t>Adult mosquito mortality rate</w:t>
            </w:r>
          </w:p>
        </w:tc>
        <w:tc>
          <w:tcPr>
            <w:tcW w:w="1925" w:type="dxa"/>
          </w:tcPr>
          <w:p w14:paraId="01A8462B" w14:textId="77777777" w:rsidR="00244982" w:rsidRPr="00804A38" w:rsidRDefault="00244982" w:rsidP="00B972BC">
            <w:pPr>
              <w:spacing w:line="360" w:lineRule="auto"/>
              <w:jc w:val="center"/>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0.1 per day</w:t>
            </w:r>
          </w:p>
        </w:tc>
        <w:tc>
          <w:tcPr>
            <w:tcW w:w="2424" w:type="dxa"/>
          </w:tcPr>
          <w:p w14:paraId="2F98907A" w14:textId="77777777" w:rsidR="00244982" w:rsidRPr="00804A38" w:rsidRDefault="00244982" w:rsidP="00B972BC">
            <w:pPr>
              <w:spacing w:line="360" w:lineRule="auto"/>
              <w:rPr>
                <w:rFonts w:ascii="Arial" w:eastAsia="Arial" w:hAnsi="Arial" w:cs="Arial"/>
                <w:kern w:val="0"/>
                <w:sz w:val="22"/>
                <w:szCs w:val="22"/>
                <w14:ligatures w14:val="none"/>
              </w:rPr>
            </w:pPr>
          </w:p>
        </w:tc>
        <w:tc>
          <w:tcPr>
            <w:tcW w:w="2509" w:type="dxa"/>
          </w:tcPr>
          <w:p w14:paraId="0AEB5C49" w14:textId="77777777" w:rsidR="00244982" w:rsidRPr="00804A38" w:rsidRDefault="00244982" w:rsidP="00B972BC">
            <w:pPr>
              <w:spacing w:line="360" w:lineRule="auto"/>
              <w:rPr>
                <w:rFonts w:ascii="Arial" w:eastAsia="Arial" w:hAnsi="Arial" w:cs="Arial"/>
                <w:kern w:val="0"/>
                <w:sz w:val="22"/>
                <w:szCs w:val="22"/>
                <w14:ligatures w14:val="none"/>
              </w:rPr>
            </w:pPr>
            <w:r w:rsidRPr="00804A38">
              <w:rPr>
                <w:rFonts w:ascii="Arial" w:eastAsia="Arial" w:hAnsi="Arial" w:cs="Arial"/>
                <w:kern w:val="0"/>
                <w:sz w:val="22"/>
                <w:szCs w:val="22"/>
                <w14:ligatures w14:val="none"/>
              </w:rPr>
              <w:t>Need to consider the current mosquito control effort in Singapore</w:t>
            </w:r>
          </w:p>
        </w:tc>
      </w:tr>
    </w:tbl>
    <w:p w14:paraId="14B98FDA" w14:textId="77777777" w:rsidR="00244982" w:rsidRPr="00804A38" w:rsidRDefault="00244982" w:rsidP="00E4283E">
      <w:pPr>
        <w:spacing w:after="0" w:line="360" w:lineRule="auto"/>
        <w:rPr>
          <w:rFonts w:ascii="Arial" w:eastAsia="Arial" w:hAnsi="Arial" w:cs="Arial"/>
          <w:color w:val="000000"/>
          <w:kern w:val="0"/>
          <w:sz w:val="22"/>
          <w:szCs w:val="22"/>
          <w14:ligatures w14:val="none"/>
        </w:rPr>
      </w:pPr>
    </w:p>
    <w:p w14:paraId="6E842627" w14:textId="77777777" w:rsidR="008964AB" w:rsidRDefault="008964AB" w:rsidP="00A3708D">
      <w:pPr>
        <w:pStyle w:val="LO-normal"/>
        <w:spacing w:line="480" w:lineRule="auto"/>
        <w:jc w:val="both"/>
        <w:rPr>
          <w:rFonts w:ascii="Times New Roman" w:hAnsi="Times New Roman" w:cs="Times New Roman"/>
        </w:rPr>
      </w:pPr>
    </w:p>
    <w:p w14:paraId="3CB0674B" w14:textId="7ABC6D7C" w:rsidR="001556C0" w:rsidRDefault="008964AB" w:rsidP="001556C0">
      <w:pPr>
        <w:spacing w:line="480" w:lineRule="auto"/>
        <w:rPr>
          <w:rFonts w:ascii="Times New Roman" w:hAnsi="Times New Roman" w:cs="Times New Roman"/>
        </w:rPr>
      </w:pPr>
      <w:r w:rsidRPr="008964AB">
        <w:rPr>
          <w:rFonts w:ascii="Times New Roman" w:hAnsi="Times New Roman" w:cs="Times New Roman"/>
          <w:b/>
          <w:bCs/>
        </w:rPr>
        <w:t>Results</w:t>
      </w:r>
      <w:r w:rsidR="001556C0" w:rsidRPr="001556C0">
        <w:rPr>
          <w:rFonts w:ascii="Times New Roman" w:hAnsi="Times New Roman" w:cs="Times New Roman"/>
        </w:rPr>
        <w:t xml:space="preserve"> </w:t>
      </w:r>
      <w:r w:rsidR="001556C0">
        <w:rPr>
          <w:rFonts w:ascii="Times New Roman" w:hAnsi="Times New Roman" w:cs="Times New Roman"/>
        </w:rPr>
        <w:t xml:space="preserve">Since the VE estimates have been reported in different phases of the trial, and they seem variable, we also explicitly incorporate these estimates into </w:t>
      </w:r>
      <w:proofErr w:type="gramStart"/>
      <w:r w:rsidR="001556C0">
        <w:rPr>
          <w:rFonts w:ascii="Times New Roman" w:hAnsi="Times New Roman" w:cs="Times New Roman"/>
        </w:rPr>
        <w:t>model</w:t>
      </w:r>
      <w:proofErr w:type="gramEnd"/>
      <w:r w:rsidR="001556C0">
        <w:rPr>
          <w:rFonts w:ascii="Times New Roman" w:hAnsi="Times New Roman" w:cs="Times New Roman"/>
        </w:rPr>
        <w:t>. However, due to low number of events and targeting different end points, the following issues have been observed (see Figure 1 and Figure 2):</w:t>
      </w:r>
    </w:p>
    <w:p w14:paraId="5677757F" w14:textId="77777777" w:rsidR="001556C0" w:rsidRDefault="001556C0" w:rsidP="001556C0">
      <w:pPr>
        <w:pStyle w:val="ListParagraph"/>
        <w:numPr>
          <w:ilvl w:val="0"/>
          <w:numId w:val="34"/>
        </w:numPr>
        <w:spacing w:line="480" w:lineRule="auto"/>
        <w:rPr>
          <w:rFonts w:ascii="Times New Roman" w:hAnsi="Times New Roman" w:cs="Times New Roman"/>
        </w:rPr>
      </w:pPr>
      <w:r w:rsidRPr="005C36CB">
        <w:rPr>
          <w:rFonts w:ascii="Times New Roman" w:hAnsi="Times New Roman" w:cs="Times New Roman"/>
        </w:rPr>
        <w:t xml:space="preserve"> </w:t>
      </w:r>
      <w:r>
        <w:rPr>
          <w:rFonts w:ascii="Times New Roman" w:hAnsi="Times New Roman" w:cs="Times New Roman"/>
        </w:rPr>
        <w:t>Some of VE estimates have been reported to be 100 (replaced with immediate next or previous value where VE estimate is not equal to 100, in the analysis).</w:t>
      </w:r>
    </w:p>
    <w:p w14:paraId="3FE36D64" w14:textId="77777777" w:rsidR="001556C0" w:rsidRDefault="001556C0" w:rsidP="001556C0">
      <w:pPr>
        <w:pStyle w:val="ListParagraph"/>
        <w:numPr>
          <w:ilvl w:val="0"/>
          <w:numId w:val="34"/>
        </w:numPr>
        <w:spacing w:line="480" w:lineRule="auto"/>
        <w:rPr>
          <w:rFonts w:ascii="Times New Roman" w:hAnsi="Times New Roman" w:cs="Times New Roman"/>
        </w:rPr>
      </w:pPr>
      <w:r>
        <w:rPr>
          <w:rFonts w:ascii="Times New Roman" w:hAnsi="Times New Roman" w:cs="Times New Roman"/>
        </w:rPr>
        <w:t>Even though the points are positive, the confidence interval is very wide. In some of the reported estimates, the lower bound of the interval goes even less than -150.</w:t>
      </w:r>
    </w:p>
    <w:p w14:paraId="614CF504" w14:textId="19521F6C" w:rsidR="00EB0C2D" w:rsidRPr="001556C0" w:rsidRDefault="001556C0" w:rsidP="00B73E0C">
      <w:pPr>
        <w:pStyle w:val="ListParagraph"/>
        <w:numPr>
          <w:ilvl w:val="0"/>
          <w:numId w:val="34"/>
        </w:numPr>
        <w:spacing w:line="480" w:lineRule="auto"/>
        <w:rPr>
          <w:rFonts w:ascii="Times New Roman" w:hAnsi="Times New Roman" w:cs="Times New Roman"/>
        </w:rPr>
      </w:pPr>
      <w:r>
        <w:rPr>
          <w:rFonts w:ascii="Times New Roman" w:hAnsi="Times New Roman" w:cs="Times New Roman"/>
        </w:rPr>
        <w:t>Some of the estimates are missing (see Figure 2, specifically VE against hospitalization).</w:t>
      </w:r>
    </w:p>
    <w:p w14:paraId="29E77DFE" w14:textId="77777777" w:rsidR="00A7216A" w:rsidRDefault="00A7216A" w:rsidP="00B73E0C">
      <w:pPr>
        <w:spacing w:line="480" w:lineRule="auto"/>
        <w:rPr>
          <w:rFonts w:ascii="Times New Roman" w:hAnsi="Times New Roman" w:cs="Times New Roman"/>
          <w:b/>
          <w:bCs/>
        </w:rPr>
      </w:pPr>
    </w:p>
    <w:p w14:paraId="01EBAA61" w14:textId="77777777" w:rsidR="00992FBE" w:rsidRDefault="00992FBE" w:rsidP="00B73E0C">
      <w:pPr>
        <w:spacing w:line="480" w:lineRule="auto"/>
        <w:rPr>
          <w:rFonts w:ascii="Times New Roman" w:hAnsi="Times New Roman" w:cs="Times New Roman"/>
          <w:b/>
          <w:bCs/>
        </w:rPr>
      </w:pPr>
    </w:p>
    <w:p w14:paraId="54CEFFBD" w14:textId="77777777" w:rsidR="003743DC" w:rsidRDefault="003743DC" w:rsidP="00B73E0C">
      <w:pPr>
        <w:spacing w:line="480" w:lineRule="auto"/>
        <w:rPr>
          <w:rFonts w:ascii="Times New Roman" w:hAnsi="Times New Roman" w:cs="Times New Roman"/>
          <w:b/>
          <w:bCs/>
        </w:rPr>
      </w:pPr>
    </w:p>
    <w:p w14:paraId="78073864" w14:textId="1742009E" w:rsidR="00F41985" w:rsidRDefault="00F41985" w:rsidP="00B73E0C">
      <w:pPr>
        <w:spacing w:line="480" w:lineRule="auto"/>
        <w:rPr>
          <w:rFonts w:ascii="Times New Roman" w:hAnsi="Times New Roman" w:cs="Times New Roman"/>
        </w:rPr>
      </w:pPr>
      <w:r>
        <w:rPr>
          <w:rFonts w:ascii="Times New Roman" w:hAnsi="Times New Roman" w:cs="Times New Roman"/>
        </w:rPr>
        <w:t>First</w:t>
      </w:r>
      <w:r w:rsidR="004567C4">
        <w:rPr>
          <w:rFonts w:ascii="Times New Roman" w:hAnsi="Times New Roman" w:cs="Times New Roman"/>
        </w:rPr>
        <w:t xml:space="preserve">, </w:t>
      </w:r>
      <w:r w:rsidR="003C41E3">
        <w:rPr>
          <w:rFonts w:ascii="Times New Roman" w:hAnsi="Times New Roman" w:cs="Times New Roman"/>
        </w:rPr>
        <w:t xml:space="preserve">we plot the vaccine efficacy (VE) estimate from the </w:t>
      </w:r>
      <w:r w:rsidR="00000220">
        <w:rPr>
          <w:rFonts w:ascii="Times New Roman" w:hAnsi="Times New Roman" w:cs="Times New Roman"/>
        </w:rPr>
        <w:t xml:space="preserve">vaccine </w:t>
      </w:r>
      <w:r w:rsidR="003C41E3">
        <w:rPr>
          <w:rFonts w:ascii="Times New Roman" w:hAnsi="Times New Roman" w:cs="Times New Roman"/>
        </w:rPr>
        <w:t>trial</w:t>
      </w:r>
      <w:r w:rsidR="00000220">
        <w:rPr>
          <w:rFonts w:ascii="Times New Roman" w:hAnsi="Times New Roman" w:cs="Times New Roman"/>
        </w:rPr>
        <w:t>s</w:t>
      </w:r>
      <w:r w:rsidR="003C41E3">
        <w:rPr>
          <w:rFonts w:ascii="Times New Roman" w:hAnsi="Times New Roman" w:cs="Times New Roman"/>
        </w:rPr>
        <w:t xml:space="preserve"> in </w:t>
      </w:r>
      <w:r w:rsidR="00DF17C4">
        <w:rPr>
          <w:rFonts w:ascii="Times New Roman" w:hAnsi="Times New Roman" w:cs="Times New Roman"/>
        </w:rPr>
        <w:t>Figure 1 and Figure 2.</w:t>
      </w:r>
    </w:p>
    <w:p w14:paraId="14085015" w14:textId="77777777" w:rsidR="00681AEB" w:rsidRDefault="008B5E46" w:rsidP="00681AEB">
      <w:pPr>
        <w:keepNext/>
        <w:spacing w:line="480" w:lineRule="auto"/>
        <w:jc w:val="center"/>
      </w:pPr>
      <w:r>
        <w:rPr>
          <w:noProof/>
        </w:rPr>
        <w:lastRenderedPageBreak/>
        <w:drawing>
          <wp:inline distT="0" distB="0" distL="0" distR="0" wp14:anchorId="55E0F5FC" wp14:editId="47B0D35C">
            <wp:extent cx="5305245" cy="3274094"/>
            <wp:effectExtent l="0" t="0" r="0" b="2540"/>
            <wp:docPr id="1311075829" name="Picture 2" descr="A graph of a number of patie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75829" name="Picture 2" descr="A graph of a number of patients&#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15513" cy="3280431"/>
                    </a:xfrm>
                    <a:prstGeom prst="rect">
                      <a:avLst/>
                    </a:prstGeom>
                    <a:noFill/>
                  </pic:spPr>
                </pic:pic>
              </a:graphicData>
            </a:graphic>
          </wp:inline>
        </w:drawing>
      </w:r>
    </w:p>
    <w:p w14:paraId="2983E558" w14:textId="4621124B" w:rsidR="007715A9" w:rsidRDefault="00681AEB" w:rsidP="00E9206B">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0C1DA6">
        <w:rPr>
          <w:noProof/>
        </w:rPr>
        <w:t>1</w:t>
      </w:r>
      <w:r>
        <w:fldChar w:fldCharType="end"/>
      </w:r>
      <w:r>
        <w:t xml:space="preserve">: The VE estimates against any serotype from the vaccine trial data. The </w:t>
      </w:r>
      <w:r w:rsidR="00ED59A3">
        <w:t xml:space="preserve">circle represents the </w:t>
      </w:r>
      <w:proofErr w:type="gramStart"/>
      <w:r w:rsidR="00ED59A3">
        <w:t>VE</w:t>
      </w:r>
      <w:proofErr w:type="gramEnd"/>
      <w:r w:rsidR="00ED59A3">
        <w:t xml:space="preserve"> and the bar represents the 95% confidence interval. </w:t>
      </w:r>
    </w:p>
    <w:p w14:paraId="13E63866" w14:textId="77777777" w:rsidR="00E9206B" w:rsidRDefault="007715A9" w:rsidP="00E9206B">
      <w:pPr>
        <w:keepNext/>
        <w:spacing w:line="480" w:lineRule="auto"/>
        <w:jc w:val="center"/>
      </w:pPr>
      <w:r>
        <w:rPr>
          <w:b/>
          <w:bCs/>
          <w:noProof/>
        </w:rPr>
        <w:drawing>
          <wp:inline distT="0" distB="0" distL="0" distR="0" wp14:anchorId="6D9C60FB" wp14:editId="77E35CEB">
            <wp:extent cx="5469148" cy="3375244"/>
            <wp:effectExtent l="0" t="0" r="0" b="0"/>
            <wp:docPr id="216160025" name="Picture 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60025" name="Picture 4" descr="A graph of a number of data&#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17468" cy="3405064"/>
                    </a:xfrm>
                    <a:prstGeom prst="rect">
                      <a:avLst/>
                    </a:prstGeom>
                    <a:noFill/>
                  </pic:spPr>
                </pic:pic>
              </a:graphicData>
            </a:graphic>
          </wp:inline>
        </w:drawing>
      </w:r>
    </w:p>
    <w:p w14:paraId="53799936" w14:textId="3B72633E" w:rsidR="00000220" w:rsidRPr="000C1DA6" w:rsidRDefault="00E9206B" w:rsidP="0041273D">
      <w:pPr>
        <w:pStyle w:val="Caption"/>
        <w:rPr>
          <w:b/>
          <w:bCs/>
        </w:rPr>
      </w:pPr>
      <w:r w:rsidRPr="000C1DA6">
        <w:rPr>
          <w:b/>
          <w:bCs/>
        </w:rPr>
        <w:t xml:space="preserve">Figure </w:t>
      </w:r>
      <w:r w:rsidRPr="000C1DA6">
        <w:rPr>
          <w:b/>
          <w:bCs/>
        </w:rPr>
        <w:fldChar w:fldCharType="begin"/>
      </w:r>
      <w:r w:rsidRPr="000C1DA6">
        <w:rPr>
          <w:b/>
          <w:bCs/>
        </w:rPr>
        <w:instrText xml:space="preserve"> SEQ Figure \* ARABIC </w:instrText>
      </w:r>
      <w:r w:rsidRPr="000C1DA6">
        <w:rPr>
          <w:b/>
          <w:bCs/>
        </w:rPr>
        <w:fldChar w:fldCharType="separate"/>
      </w:r>
      <w:r w:rsidR="000C1DA6" w:rsidRPr="000C1DA6">
        <w:rPr>
          <w:b/>
          <w:bCs/>
          <w:noProof/>
        </w:rPr>
        <w:t>2</w:t>
      </w:r>
      <w:r w:rsidRPr="000C1DA6">
        <w:rPr>
          <w:b/>
          <w:bCs/>
        </w:rPr>
        <w:fldChar w:fldCharType="end"/>
      </w:r>
      <w:r w:rsidRPr="000C1DA6">
        <w:rPr>
          <w:b/>
          <w:bCs/>
        </w:rPr>
        <w:t xml:space="preserve">: The VE estimate, stratified with serotypes from the vaccine trial. The circle represents the </w:t>
      </w:r>
      <w:proofErr w:type="gramStart"/>
      <w:r w:rsidRPr="000C1DA6">
        <w:rPr>
          <w:b/>
          <w:bCs/>
        </w:rPr>
        <w:t>VE</w:t>
      </w:r>
      <w:proofErr w:type="gramEnd"/>
      <w:r w:rsidRPr="000C1DA6">
        <w:rPr>
          <w:b/>
          <w:bCs/>
        </w:rPr>
        <w:t xml:space="preserve"> and the bar represents the 95% confidence interval</w:t>
      </w:r>
      <w:r w:rsidR="0041273D" w:rsidRPr="000C1DA6">
        <w:rPr>
          <w:b/>
          <w:bCs/>
        </w:rPr>
        <w:t xml:space="preserve">. </w:t>
      </w:r>
    </w:p>
    <w:p w14:paraId="485BF4D6" w14:textId="77777777" w:rsidR="000C1DA6" w:rsidRDefault="000C1DA6" w:rsidP="000C1DA6"/>
    <w:p w14:paraId="67C0B55D" w14:textId="77777777" w:rsidR="000C1DA6" w:rsidRDefault="000C1DA6" w:rsidP="000C1DA6"/>
    <w:p w14:paraId="37D54912" w14:textId="77777777" w:rsidR="000C1DA6" w:rsidRDefault="000C1DA6" w:rsidP="000C1DA6"/>
    <w:p w14:paraId="12F9197A" w14:textId="77777777" w:rsidR="000C1DA6" w:rsidRDefault="000C1DA6" w:rsidP="000C1DA6">
      <w:pPr>
        <w:keepNext/>
        <w:jc w:val="center"/>
      </w:pPr>
      <w:r>
        <w:rPr>
          <w:noProof/>
        </w:rPr>
        <w:drawing>
          <wp:inline distT="0" distB="0" distL="0" distR="0" wp14:anchorId="5B4E04A2" wp14:editId="0AFC2E5E">
            <wp:extent cx="5449304" cy="3362325"/>
            <wp:effectExtent l="0" t="0" r="0" b="0"/>
            <wp:docPr id="1900425819"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25819" name="Picture 1" descr="A graph of different colored lines&#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3597" cy="3364974"/>
                    </a:xfrm>
                    <a:prstGeom prst="rect">
                      <a:avLst/>
                    </a:prstGeom>
                    <a:noFill/>
                    <a:ln>
                      <a:noFill/>
                    </a:ln>
                  </pic:spPr>
                </pic:pic>
              </a:graphicData>
            </a:graphic>
          </wp:inline>
        </w:drawing>
      </w:r>
    </w:p>
    <w:p w14:paraId="7FE7EA4F" w14:textId="3366707E" w:rsidR="000C1DA6" w:rsidRDefault="000C1DA6" w:rsidP="000C1DA6">
      <w:pPr>
        <w:pStyle w:val="Caption"/>
        <w:rPr>
          <w:b/>
          <w:bCs/>
        </w:rPr>
      </w:pPr>
      <w:r w:rsidRPr="000C1DA6">
        <w:rPr>
          <w:b/>
          <w:bCs/>
        </w:rPr>
        <w:t xml:space="preserve">Figure </w:t>
      </w:r>
      <w:r w:rsidRPr="000C1DA6">
        <w:rPr>
          <w:b/>
          <w:bCs/>
        </w:rPr>
        <w:fldChar w:fldCharType="begin"/>
      </w:r>
      <w:r w:rsidRPr="000C1DA6">
        <w:rPr>
          <w:b/>
          <w:bCs/>
        </w:rPr>
        <w:instrText xml:space="preserve"> SEQ Figure \* ARABIC </w:instrText>
      </w:r>
      <w:r w:rsidRPr="000C1DA6">
        <w:rPr>
          <w:b/>
          <w:bCs/>
        </w:rPr>
        <w:fldChar w:fldCharType="separate"/>
      </w:r>
      <w:r w:rsidRPr="000C1DA6">
        <w:rPr>
          <w:b/>
          <w:bCs/>
          <w:noProof/>
        </w:rPr>
        <w:t>3</w:t>
      </w:r>
      <w:r w:rsidRPr="000C1DA6">
        <w:rPr>
          <w:b/>
          <w:bCs/>
        </w:rPr>
        <w:fldChar w:fldCharType="end"/>
      </w:r>
      <w:r w:rsidRPr="000C1DA6">
        <w:rPr>
          <w:b/>
          <w:bCs/>
        </w:rPr>
        <w:t>: Impact of vaccination impact with lower bound of negative VE estimates restricted at -100.</w:t>
      </w:r>
    </w:p>
    <w:p w14:paraId="37744C5B" w14:textId="77777777" w:rsidR="000C1DA6" w:rsidRDefault="000C1DA6" w:rsidP="000C1DA6"/>
    <w:p w14:paraId="7AFE541B" w14:textId="77777777" w:rsidR="000C1DA6" w:rsidRPr="000C1DA6" w:rsidRDefault="000C1DA6" w:rsidP="000C1DA6"/>
    <w:p w14:paraId="2B132A45" w14:textId="16B0A4B1" w:rsidR="00604CF2" w:rsidRDefault="00DF17C4" w:rsidP="004830B0">
      <w:pPr>
        <w:spacing w:line="480" w:lineRule="auto"/>
        <w:jc w:val="both"/>
        <w:rPr>
          <w:rFonts w:ascii="Times New Roman" w:hAnsi="Times New Roman" w:cs="Times New Roman"/>
        </w:rPr>
      </w:pPr>
      <w:r>
        <w:rPr>
          <w:rFonts w:ascii="Times New Roman" w:hAnsi="Times New Roman" w:cs="Times New Roman"/>
        </w:rPr>
        <w:t>Since we see</w:t>
      </w:r>
      <w:r w:rsidR="00085C79">
        <w:rPr>
          <w:rFonts w:ascii="Times New Roman" w:hAnsi="Times New Roman" w:cs="Times New Roman"/>
        </w:rPr>
        <w:t xml:space="preserve"> </w:t>
      </w:r>
      <w:r w:rsidR="00FC62ED">
        <w:rPr>
          <w:rFonts w:ascii="Times New Roman" w:hAnsi="Times New Roman" w:cs="Times New Roman"/>
        </w:rPr>
        <w:t>information on VE are not available and there</w:t>
      </w:r>
      <w:r w:rsidR="00ED42DF">
        <w:rPr>
          <w:rFonts w:ascii="Times New Roman" w:hAnsi="Times New Roman" w:cs="Times New Roman"/>
        </w:rPr>
        <w:t xml:space="preserve"> are</w:t>
      </w:r>
      <w:r w:rsidR="00FC62ED">
        <w:rPr>
          <w:rFonts w:ascii="Times New Roman" w:hAnsi="Times New Roman" w:cs="Times New Roman"/>
        </w:rPr>
        <w:t xml:space="preserve"> large uncertain</w:t>
      </w:r>
      <w:r w:rsidR="00760986">
        <w:rPr>
          <w:rFonts w:ascii="Times New Roman" w:hAnsi="Times New Roman" w:cs="Times New Roman"/>
        </w:rPr>
        <w:t xml:space="preserve">ties around the VE estimates, we will consider different scenarios </w:t>
      </w:r>
      <w:r w:rsidR="00604CF2">
        <w:rPr>
          <w:rFonts w:ascii="Times New Roman" w:hAnsi="Times New Roman" w:cs="Times New Roman"/>
        </w:rPr>
        <w:t>and estimate the impact of vaccination.</w:t>
      </w:r>
      <w:r>
        <w:rPr>
          <w:rFonts w:ascii="Times New Roman" w:hAnsi="Times New Roman" w:cs="Times New Roman"/>
        </w:rPr>
        <w:t xml:space="preserve"> </w:t>
      </w:r>
    </w:p>
    <w:p w14:paraId="0CB2C3E4" w14:textId="52B86119" w:rsidR="00D57C2F" w:rsidRDefault="00604CF2" w:rsidP="004830B0">
      <w:pPr>
        <w:spacing w:line="480" w:lineRule="auto"/>
        <w:jc w:val="both"/>
        <w:rPr>
          <w:rFonts w:ascii="Times New Roman" w:hAnsi="Times New Roman" w:cs="Times New Roman"/>
        </w:rPr>
      </w:pPr>
      <w:r>
        <w:rPr>
          <w:rFonts w:ascii="Times New Roman" w:hAnsi="Times New Roman" w:cs="Times New Roman"/>
        </w:rPr>
        <w:t>We design a scenario</w:t>
      </w:r>
      <w:r w:rsidR="00A401C6">
        <w:rPr>
          <w:rFonts w:ascii="Times New Roman" w:hAnsi="Times New Roman" w:cs="Times New Roman"/>
        </w:rPr>
        <w:t xml:space="preserve"> by considering the following set of assumptions</w:t>
      </w:r>
      <w:r w:rsidR="00D57C2F">
        <w:rPr>
          <w:rFonts w:ascii="Times New Roman" w:hAnsi="Times New Roman" w:cs="Times New Roman"/>
        </w:rPr>
        <w:t>:</w:t>
      </w:r>
    </w:p>
    <w:p w14:paraId="5856F3C7" w14:textId="64ABE4AA" w:rsidR="00D57C2F" w:rsidRDefault="00D57C2F" w:rsidP="004830B0">
      <w:pPr>
        <w:pStyle w:val="ListParagraph"/>
        <w:numPr>
          <w:ilvl w:val="0"/>
          <w:numId w:val="27"/>
        </w:numPr>
        <w:spacing w:line="480" w:lineRule="auto"/>
        <w:jc w:val="both"/>
        <w:rPr>
          <w:rFonts w:ascii="Times New Roman" w:hAnsi="Times New Roman" w:cs="Times New Roman"/>
        </w:rPr>
      </w:pPr>
      <w:r>
        <w:rPr>
          <w:rFonts w:ascii="Times New Roman" w:hAnsi="Times New Roman" w:cs="Times New Roman"/>
        </w:rPr>
        <w:t xml:space="preserve">We assume </w:t>
      </w:r>
      <w:r w:rsidR="003E5179">
        <w:rPr>
          <w:rFonts w:ascii="Times New Roman" w:hAnsi="Times New Roman" w:cs="Times New Roman"/>
        </w:rPr>
        <w:t>the vaccine does not show any</w:t>
      </w:r>
      <w:r w:rsidR="00D32A86">
        <w:rPr>
          <w:rFonts w:ascii="Times New Roman" w:hAnsi="Times New Roman" w:cs="Times New Roman"/>
        </w:rPr>
        <w:t xml:space="preserve"> efficacy </w:t>
      </w:r>
      <w:r w:rsidR="00C75F12">
        <w:rPr>
          <w:rFonts w:ascii="Times New Roman" w:hAnsi="Times New Roman" w:cs="Times New Roman"/>
        </w:rPr>
        <w:t xml:space="preserve">against </w:t>
      </w:r>
      <w:r w:rsidR="00324919">
        <w:rPr>
          <w:rFonts w:ascii="Times New Roman" w:hAnsi="Times New Roman" w:cs="Times New Roman"/>
        </w:rPr>
        <w:t>VCD with DENV-3 and DENV-4</w:t>
      </w:r>
      <w:r w:rsidR="00EB285C">
        <w:rPr>
          <w:rFonts w:ascii="Times New Roman" w:hAnsi="Times New Roman" w:cs="Times New Roman"/>
        </w:rPr>
        <w:t xml:space="preserve"> for baseline seronegative</w:t>
      </w:r>
      <w:r w:rsidR="00D32A86">
        <w:rPr>
          <w:rFonts w:ascii="Times New Roman" w:hAnsi="Times New Roman" w:cs="Times New Roman"/>
        </w:rPr>
        <w:t xml:space="preserve"> individuals.</w:t>
      </w:r>
    </w:p>
    <w:p w14:paraId="4F8A0208" w14:textId="1CABA2DE" w:rsidR="00D32A86" w:rsidRDefault="00372D04" w:rsidP="004830B0">
      <w:pPr>
        <w:pStyle w:val="ListParagraph"/>
        <w:numPr>
          <w:ilvl w:val="0"/>
          <w:numId w:val="27"/>
        </w:numPr>
        <w:spacing w:line="480" w:lineRule="auto"/>
        <w:jc w:val="both"/>
        <w:rPr>
          <w:rFonts w:ascii="Times New Roman" w:hAnsi="Times New Roman" w:cs="Times New Roman"/>
        </w:rPr>
      </w:pPr>
      <w:r>
        <w:rPr>
          <w:rFonts w:ascii="Times New Roman" w:hAnsi="Times New Roman" w:cs="Times New Roman"/>
        </w:rPr>
        <w:t xml:space="preserve">Regarding </w:t>
      </w:r>
      <w:r w:rsidR="00965227">
        <w:rPr>
          <w:rFonts w:ascii="Times New Roman" w:hAnsi="Times New Roman" w:cs="Times New Roman"/>
        </w:rPr>
        <w:t>efficacy against Hospitalization</w:t>
      </w:r>
      <w:r w:rsidR="00200E31">
        <w:rPr>
          <w:rFonts w:ascii="Times New Roman" w:hAnsi="Times New Roman" w:cs="Times New Roman"/>
        </w:rPr>
        <w:t xml:space="preserve"> </w:t>
      </w:r>
      <w:r w:rsidR="00375AB7">
        <w:rPr>
          <w:rFonts w:ascii="Times New Roman" w:hAnsi="Times New Roman" w:cs="Times New Roman"/>
        </w:rPr>
        <w:t>due to</w:t>
      </w:r>
      <w:r w:rsidR="00200E31">
        <w:rPr>
          <w:rFonts w:ascii="Times New Roman" w:hAnsi="Times New Roman" w:cs="Times New Roman"/>
        </w:rPr>
        <w:t xml:space="preserve"> DENV-3 and DE</w:t>
      </w:r>
      <w:r w:rsidR="00F46495">
        <w:rPr>
          <w:rFonts w:ascii="Times New Roman" w:hAnsi="Times New Roman" w:cs="Times New Roman"/>
        </w:rPr>
        <w:t>NV-4</w:t>
      </w:r>
      <w:r w:rsidR="00965227">
        <w:rPr>
          <w:rFonts w:ascii="Times New Roman" w:hAnsi="Times New Roman" w:cs="Times New Roman"/>
        </w:rPr>
        <w:t xml:space="preserve">, </w:t>
      </w:r>
      <w:r w:rsidR="00FB0F67">
        <w:rPr>
          <w:rFonts w:ascii="Times New Roman" w:hAnsi="Times New Roman" w:cs="Times New Roman"/>
        </w:rPr>
        <w:t xml:space="preserve">we assume </w:t>
      </w:r>
      <w:r w:rsidR="006C4BC9">
        <w:rPr>
          <w:rFonts w:ascii="Times New Roman" w:hAnsi="Times New Roman" w:cs="Times New Roman"/>
        </w:rPr>
        <w:t xml:space="preserve">that the </w:t>
      </w:r>
      <w:r w:rsidR="008A6F84">
        <w:rPr>
          <w:rFonts w:ascii="Times New Roman" w:hAnsi="Times New Roman" w:cs="Times New Roman"/>
        </w:rPr>
        <w:t>vaccine has zero efficacy both for seropositive and seronegative individual</w:t>
      </w:r>
      <w:r w:rsidR="00200E31">
        <w:rPr>
          <w:rFonts w:ascii="Times New Roman" w:hAnsi="Times New Roman" w:cs="Times New Roman"/>
        </w:rPr>
        <w:t>s.</w:t>
      </w:r>
    </w:p>
    <w:p w14:paraId="23187DE3" w14:textId="0496D1E9" w:rsidR="00200E31" w:rsidRDefault="00200E31" w:rsidP="004830B0">
      <w:pPr>
        <w:pStyle w:val="ListParagraph"/>
        <w:numPr>
          <w:ilvl w:val="0"/>
          <w:numId w:val="27"/>
        </w:numPr>
        <w:spacing w:line="480" w:lineRule="auto"/>
        <w:jc w:val="both"/>
        <w:rPr>
          <w:rFonts w:ascii="Times New Roman" w:hAnsi="Times New Roman" w:cs="Times New Roman"/>
        </w:rPr>
      </w:pPr>
      <w:r>
        <w:rPr>
          <w:rFonts w:ascii="Times New Roman" w:hAnsi="Times New Roman" w:cs="Times New Roman"/>
        </w:rPr>
        <w:lastRenderedPageBreak/>
        <w:t>Additionally, we assume that</w:t>
      </w:r>
      <w:r w:rsidR="00E35802">
        <w:rPr>
          <w:rFonts w:ascii="Times New Roman" w:hAnsi="Times New Roman" w:cs="Times New Roman"/>
        </w:rPr>
        <w:t xml:space="preserve"> VE against </w:t>
      </w:r>
      <w:r w:rsidR="00375AB7">
        <w:rPr>
          <w:rFonts w:ascii="Times New Roman" w:hAnsi="Times New Roman" w:cs="Times New Roman"/>
        </w:rPr>
        <w:t>Hospitalization due to DENV-1 and DENV-2</w:t>
      </w:r>
      <w:r w:rsidR="007D7D77">
        <w:rPr>
          <w:rFonts w:ascii="Times New Roman" w:hAnsi="Times New Roman" w:cs="Times New Roman"/>
        </w:rPr>
        <w:t xml:space="preserve"> </w:t>
      </w:r>
      <w:r w:rsidR="008E27AB">
        <w:rPr>
          <w:rFonts w:ascii="Times New Roman" w:hAnsi="Times New Roman" w:cs="Times New Roman"/>
        </w:rPr>
        <w:t xml:space="preserve">for seropositive and seronegative </w:t>
      </w:r>
      <w:r w:rsidR="007D7D77">
        <w:rPr>
          <w:rFonts w:ascii="Times New Roman" w:hAnsi="Times New Roman" w:cs="Times New Roman"/>
        </w:rPr>
        <w:t xml:space="preserve">are same as that of against </w:t>
      </w:r>
      <w:r w:rsidR="00D06A07">
        <w:rPr>
          <w:rFonts w:ascii="Times New Roman" w:hAnsi="Times New Roman" w:cs="Times New Roman"/>
        </w:rPr>
        <w:t xml:space="preserve">hospitalization </w:t>
      </w:r>
      <w:r w:rsidR="008E27AB">
        <w:rPr>
          <w:rFonts w:ascii="Times New Roman" w:hAnsi="Times New Roman" w:cs="Times New Roman"/>
        </w:rPr>
        <w:t>due to any serot</w:t>
      </w:r>
      <w:r w:rsidR="005B2D40">
        <w:rPr>
          <w:rFonts w:ascii="Times New Roman" w:hAnsi="Times New Roman" w:cs="Times New Roman"/>
        </w:rPr>
        <w:t xml:space="preserve">ype (see Figure 1) for the respective serostatus respectively. </w:t>
      </w:r>
    </w:p>
    <w:p w14:paraId="6FB6C85A" w14:textId="6941860E" w:rsidR="005B2D40" w:rsidRDefault="00293184" w:rsidP="004830B0">
      <w:pPr>
        <w:pStyle w:val="ListParagraph"/>
        <w:numPr>
          <w:ilvl w:val="0"/>
          <w:numId w:val="27"/>
        </w:numPr>
        <w:spacing w:line="480" w:lineRule="auto"/>
        <w:jc w:val="both"/>
        <w:rPr>
          <w:rFonts w:ascii="Times New Roman" w:hAnsi="Times New Roman" w:cs="Times New Roman"/>
        </w:rPr>
      </w:pPr>
      <w:r>
        <w:rPr>
          <w:rFonts w:ascii="Times New Roman" w:hAnsi="Times New Roman" w:cs="Times New Roman"/>
        </w:rPr>
        <w:t xml:space="preserve">We also </w:t>
      </w:r>
      <w:r w:rsidR="00CB0D0A">
        <w:rPr>
          <w:rFonts w:ascii="Times New Roman" w:hAnsi="Times New Roman" w:cs="Times New Roman"/>
        </w:rPr>
        <w:t xml:space="preserve">replace </w:t>
      </w:r>
      <w:r w:rsidR="008E00ED">
        <w:rPr>
          <w:rFonts w:ascii="Times New Roman" w:hAnsi="Times New Roman" w:cs="Times New Roman"/>
        </w:rPr>
        <w:t>those VE estimates</w:t>
      </w:r>
      <w:r w:rsidR="00D92A1B">
        <w:rPr>
          <w:rFonts w:ascii="Times New Roman" w:hAnsi="Times New Roman" w:cs="Times New Roman"/>
        </w:rPr>
        <w:t xml:space="preserve">, where number of events in Vaccine groups were zero and consequently </w:t>
      </w:r>
      <w:r w:rsidR="004C1368">
        <w:rPr>
          <w:rFonts w:ascii="Times New Roman" w:hAnsi="Times New Roman" w:cs="Times New Roman"/>
        </w:rPr>
        <w:t>VE estimates become 100%, with the immediate next or previous values</w:t>
      </w:r>
      <w:r w:rsidR="00193668">
        <w:rPr>
          <w:rFonts w:ascii="Times New Roman" w:hAnsi="Times New Roman" w:cs="Times New Roman"/>
        </w:rPr>
        <w:t>.</w:t>
      </w:r>
    </w:p>
    <w:p w14:paraId="1368BF14" w14:textId="051FE182" w:rsidR="00193668" w:rsidRDefault="00193668" w:rsidP="004830B0">
      <w:pPr>
        <w:spacing w:line="480" w:lineRule="auto"/>
        <w:jc w:val="both"/>
        <w:rPr>
          <w:rFonts w:ascii="Times New Roman" w:hAnsi="Times New Roman" w:cs="Times New Roman"/>
        </w:rPr>
      </w:pPr>
      <w:r>
        <w:rPr>
          <w:rFonts w:ascii="Times New Roman" w:hAnsi="Times New Roman" w:cs="Times New Roman"/>
        </w:rPr>
        <w:t xml:space="preserve">With all these assumptions the </w:t>
      </w:r>
      <w:r w:rsidR="00BF1101">
        <w:rPr>
          <w:rFonts w:ascii="Times New Roman" w:hAnsi="Times New Roman" w:cs="Times New Roman"/>
        </w:rPr>
        <w:t>VE estimates have been modified as presented in Figure 3.</w:t>
      </w:r>
    </w:p>
    <w:p w14:paraId="3CA8DCA1" w14:textId="2EC51E12" w:rsidR="00B50312" w:rsidRDefault="00BF1101" w:rsidP="004830B0">
      <w:pPr>
        <w:spacing w:line="480" w:lineRule="auto"/>
        <w:jc w:val="both"/>
        <w:rPr>
          <w:rFonts w:ascii="Times New Roman" w:hAnsi="Times New Roman" w:cs="Times New Roman"/>
        </w:rPr>
      </w:pPr>
      <w:r>
        <w:rPr>
          <w:rFonts w:ascii="Times New Roman" w:hAnsi="Times New Roman" w:cs="Times New Roman"/>
        </w:rPr>
        <w:t xml:space="preserve">We further </w:t>
      </w:r>
      <w:r w:rsidR="00063E03">
        <w:rPr>
          <w:rFonts w:ascii="Times New Roman" w:hAnsi="Times New Roman" w:cs="Times New Roman"/>
        </w:rPr>
        <w:t xml:space="preserve">calculate the conditional efficacy using the formula described in “method” section and </w:t>
      </w:r>
      <w:r w:rsidR="0063189D">
        <w:rPr>
          <w:rFonts w:ascii="Times New Roman" w:hAnsi="Times New Roman" w:cs="Times New Roman"/>
        </w:rPr>
        <w:t>eventually used them in the simulation.</w:t>
      </w:r>
    </w:p>
    <w:p w14:paraId="4EAE62AD" w14:textId="77777777" w:rsidR="006F2CEE" w:rsidRDefault="00B50312" w:rsidP="006F2CEE">
      <w:pPr>
        <w:keepNext/>
        <w:jc w:val="center"/>
      </w:pPr>
      <w:r>
        <w:rPr>
          <w:rFonts w:ascii="Times New Roman" w:hAnsi="Times New Roman" w:cs="Times New Roman"/>
          <w:noProof/>
        </w:rPr>
        <w:drawing>
          <wp:inline distT="0" distB="0" distL="0" distR="0" wp14:anchorId="3F30796E" wp14:editId="6B811581">
            <wp:extent cx="5786887" cy="3571335"/>
            <wp:effectExtent l="0" t="0" r="4445" b="0"/>
            <wp:docPr id="7779143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38675" cy="3603296"/>
                    </a:xfrm>
                    <a:prstGeom prst="rect">
                      <a:avLst/>
                    </a:prstGeom>
                    <a:noFill/>
                  </pic:spPr>
                </pic:pic>
              </a:graphicData>
            </a:graphic>
          </wp:inline>
        </w:drawing>
      </w:r>
    </w:p>
    <w:p w14:paraId="63A4F630" w14:textId="5404DE4B" w:rsidR="00B50312" w:rsidRPr="00B50312" w:rsidRDefault="006F2CEE" w:rsidP="006F2CEE">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0C1DA6">
        <w:rPr>
          <w:noProof/>
        </w:rPr>
        <w:t>4</w:t>
      </w:r>
      <w:r>
        <w:fldChar w:fldCharType="end"/>
      </w:r>
      <w:r>
        <w:t xml:space="preserve">: The modified estimates of VE that have been used in this scenario. </w:t>
      </w:r>
    </w:p>
    <w:p w14:paraId="22563D0E" w14:textId="1AA2D7BD" w:rsidR="00145940" w:rsidRPr="0061688A" w:rsidRDefault="0061688A" w:rsidP="0061688A">
      <w:pPr>
        <w:rPr>
          <w:rFonts w:ascii="Arial" w:hAnsi="Arial" w:cs="Arial"/>
        </w:rPr>
      </w:pPr>
      <w:r>
        <w:rPr>
          <w:rFonts w:ascii="Arial" w:hAnsi="Arial" w:cs="Arial"/>
        </w:rPr>
        <w:t>Sampling from th</w:t>
      </w:r>
      <w:r w:rsidR="00212BC2">
        <w:rPr>
          <w:rFonts w:ascii="Arial" w:hAnsi="Arial" w:cs="Arial"/>
        </w:rPr>
        <w:t xml:space="preserve">e C.I of </w:t>
      </w:r>
      <w:r w:rsidR="00C90B2B">
        <w:rPr>
          <w:rFonts w:ascii="Arial" w:hAnsi="Arial" w:cs="Arial"/>
        </w:rPr>
        <w:t xml:space="preserve">vaccine efficacy estimates and also from posterior distribution of estimated age-specific reported </w:t>
      </w:r>
      <w:r w:rsidR="009A233A">
        <w:rPr>
          <w:rFonts w:ascii="Arial" w:hAnsi="Arial" w:cs="Arial"/>
        </w:rPr>
        <w:t xml:space="preserve">rate, we calculate the cumulative number of </w:t>
      </w:r>
      <w:proofErr w:type="gramStart"/>
      <w:r w:rsidR="00D019BA">
        <w:rPr>
          <w:rFonts w:ascii="Arial" w:hAnsi="Arial" w:cs="Arial"/>
        </w:rPr>
        <w:t>incidence</w:t>
      </w:r>
      <w:proofErr w:type="gramEnd"/>
      <w:r w:rsidR="00D019BA">
        <w:rPr>
          <w:rFonts w:ascii="Arial" w:hAnsi="Arial" w:cs="Arial"/>
        </w:rPr>
        <w:t xml:space="preserve"> of reported cases and hospitalizations averted after 50 years of vaccine introduction. </w:t>
      </w:r>
    </w:p>
    <w:p w14:paraId="6171030C" w14:textId="3CBB6090" w:rsidR="00145940" w:rsidRDefault="00145940" w:rsidP="0067127F">
      <w:pPr>
        <w:jc w:val="right"/>
        <w:rPr>
          <w:rFonts w:ascii="Arial" w:hAnsi="Arial" w:cs="Arial"/>
          <w:b/>
          <w:bCs/>
        </w:rPr>
      </w:pPr>
    </w:p>
    <w:p w14:paraId="1A8DEC26" w14:textId="7B744096" w:rsidR="00120E79" w:rsidRDefault="00120E79" w:rsidP="006332FD">
      <w:pPr>
        <w:jc w:val="center"/>
        <w:rPr>
          <w:rFonts w:ascii="Arial" w:hAnsi="Arial" w:cs="Arial"/>
          <w:b/>
          <w:bCs/>
        </w:rPr>
      </w:pPr>
    </w:p>
    <w:p w14:paraId="478ECFB5" w14:textId="77777777" w:rsidR="00145940" w:rsidRPr="00BB4FA5" w:rsidRDefault="00145940" w:rsidP="00145940">
      <w:pPr>
        <w:rPr>
          <w:rFonts w:ascii="Times New Roman" w:hAnsi="Times New Roman" w:cs="Times New Roman"/>
          <w:b/>
          <w:bCs/>
        </w:rPr>
      </w:pPr>
      <w:r w:rsidRPr="00BB4FA5">
        <w:rPr>
          <w:rFonts w:ascii="Times New Roman" w:hAnsi="Times New Roman" w:cs="Times New Roman"/>
          <w:b/>
          <w:bCs/>
        </w:rPr>
        <w:t>References:</w:t>
      </w:r>
    </w:p>
    <w:p w14:paraId="4CC31F41" w14:textId="77777777" w:rsidR="00145940" w:rsidRPr="006547C6" w:rsidRDefault="00145940" w:rsidP="00145940">
      <w:pPr>
        <w:rPr>
          <w:rFonts w:ascii="Times New Roman" w:hAnsi="Times New Roman" w:cs="Times New Roman"/>
        </w:rPr>
      </w:pPr>
    </w:p>
    <w:p w14:paraId="7492EBE8"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fldChar w:fldCharType="begin"/>
      </w:r>
      <w:r w:rsidRPr="006547C6">
        <w:rPr>
          <w:rFonts w:ascii="Times New Roman" w:hAnsi="Times New Roman" w:cs="Times New Roman"/>
        </w:rPr>
        <w:instrText xml:space="preserve"> ADDIN ZOTERO_BIBL {"uncited":[],"omitted":[],"custom":[]} CSL_BIBLIOGRAPHY </w:instrText>
      </w:r>
      <w:r w:rsidRPr="006547C6">
        <w:rPr>
          <w:rFonts w:ascii="Times New Roman" w:hAnsi="Times New Roman" w:cs="Times New Roman"/>
        </w:rPr>
        <w:fldChar w:fldCharType="separate"/>
      </w:r>
      <w:r w:rsidRPr="006547C6">
        <w:rPr>
          <w:rFonts w:ascii="Times New Roman" w:hAnsi="Times New Roman" w:cs="Times New Roman"/>
        </w:rPr>
        <w:t xml:space="preserve">Anderson, K.B. </w:t>
      </w:r>
      <w:r w:rsidRPr="006547C6">
        <w:rPr>
          <w:rFonts w:ascii="Times New Roman" w:hAnsi="Times New Roman" w:cs="Times New Roman"/>
          <w:i/>
          <w:iCs/>
        </w:rPr>
        <w:t>et al.</w:t>
      </w:r>
      <w:r w:rsidRPr="006547C6">
        <w:rPr>
          <w:rFonts w:ascii="Times New Roman" w:hAnsi="Times New Roman" w:cs="Times New Roman"/>
        </w:rPr>
        <w:t xml:space="preserve"> (2014) ‘A Shorter Time Interval Between First and Second Dengue Infections Is Associated With Protection From Clinical Illness in a School-based Cohort in Thailand’, </w:t>
      </w:r>
      <w:r w:rsidRPr="006547C6">
        <w:rPr>
          <w:rFonts w:ascii="Times New Roman" w:hAnsi="Times New Roman" w:cs="Times New Roman"/>
          <w:i/>
          <w:iCs/>
        </w:rPr>
        <w:t>The Journal of Infectious Diseases</w:t>
      </w:r>
      <w:r w:rsidRPr="006547C6">
        <w:rPr>
          <w:rFonts w:ascii="Times New Roman" w:hAnsi="Times New Roman" w:cs="Times New Roman"/>
        </w:rPr>
        <w:t>, 209(3), pp. 360–368. Available at: https://doi.org/10.1093/infdis/jit436.</w:t>
      </w:r>
    </w:p>
    <w:p w14:paraId="437127AE"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Ang, L.W. </w:t>
      </w:r>
      <w:r w:rsidRPr="006547C6">
        <w:rPr>
          <w:rFonts w:ascii="Times New Roman" w:hAnsi="Times New Roman" w:cs="Times New Roman"/>
          <w:i/>
          <w:iCs/>
        </w:rPr>
        <w:t>et al.</w:t>
      </w:r>
      <w:r w:rsidRPr="006547C6">
        <w:rPr>
          <w:rFonts w:ascii="Times New Roman" w:hAnsi="Times New Roman" w:cs="Times New Roman"/>
        </w:rPr>
        <w:t xml:space="preserve"> (2019) ‘A 15-year review of dengue hospitalizations in Singapore: Reducing admissions without adverse consequences, 2003 to 2017’, </w:t>
      </w:r>
      <w:r w:rsidRPr="006547C6">
        <w:rPr>
          <w:rFonts w:ascii="Times New Roman" w:hAnsi="Times New Roman" w:cs="Times New Roman"/>
          <w:i/>
          <w:iCs/>
        </w:rPr>
        <w:t>PLOS Neglected Tropical Diseases</w:t>
      </w:r>
      <w:r w:rsidRPr="006547C6">
        <w:rPr>
          <w:rFonts w:ascii="Times New Roman" w:hAnsi="Times New Roman" w:cs="Times New Roman"/>
        </w:rPr>
        <w:t>. Edited by B. Althouse, 13(5), p. e0007389. Available at: https://doi.org/10.1371/journal.pntd.0007389.</w:t>
      </w:r>
    </w:p>
    <w:p w14:paraId="670C168D"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Cox, V. </w:t>
      </w:r>
      <w:r w:rsidRPr="006547C6">
        <w:rPr>
          <w:rFonts w:ascii="Times New Roman" w:hAnsi="Times New Roman" w:cs="Times New Roman"/>
          <w:i/>
          <w:iCs/>
        </w:rPr>
        <w:t>et al.</w:t>
      </w:r>
      <w:r w:rsidRPr="006547C6">
        <w:rPr>
          <w:rFonts w:ascii="Times New Roman" w:hAnsi="Times New Roman" w:cs="Times New Roman"/>
        </w:rPr>
        <w:t xml:space="preserve"> (2022) ‘Estimating dengue transmission intensity from serological data: A comparative analysis using mixture and catalytic models’, </w:t>
      </w:r>
      <w:r w:rsidRPr="006547C6">
        <w:rPr>
          <w:rFonts w:ascii="Times New Roman" w:hAnsi="Times New Roman" w:cs="Times New Roman"/>
          <w:i/>
          <w:iCs/>
        </w:rPr>
        <w:t>PLOS Neglected Tropical Diseases</w:t>
      </w:r>
      <w:r w:rsidRPr="006547C6">
        <w:rPr>
          <w:rFonts w:ascii="Times New Roman" w:hAnsi="Times New Roman" w:cs="Times New Roman"/>
        </w:rPr>
        <w:t>. Edited by J.T. Wu, 16(7), p. e0010592. Available at: https://doi.org/10.1371/journal.pntd.0010592.</w:t>
      </w:r>
    </w:p>
    <w:p w14:paraId="55C9FEFB"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Duong, V. </w:t>
      </w:r>
      <w:r w:rsidRPr="006547C6">
        <w:rPr>
          <w:rFonts w:ascii="Times New Roman" w:hAnsi="Times New Roman" w:cs="Times New Roman"/>
          <w:i/>
          <w:iCs/>
        </w:rPr>
        <w:t>et al.</w:t>
      </w:r>
      <w:r w:rsidRPr="006547C6">
        <w:rPr>
          <w:rFonts w:ascii="Times New Roman" w:hAnsi="Times New Roman" w:cs="Times New Roman"/>
        </w:rPr>
        <w:t xml:space="preserve"> (2015) ‘Asymptomatic humans transmit dengue virus to mosquitoes’, </w:t>
      </w:r>
      <w:r w:rsidRPr="006547C6">
        <w:rPr>
          <w:rFonts w:ascii="Times New Roman" w:hAnsi="Times New Roman" w:cs="Times New Roman"/>
          <w:i/>
          <w:iCs/>
        </w:rPr>
        <w:t>Proceedings of the National Academy of Sciences</w:t>
      </w:r>
      <w:r w:rsidRPr="006547C6">
        <w:rPr>
          <w:rFonts w:ascii="Times New Roman" w:hAnsi="Times New Roman" w:cs="Times New Roman"/>
        </w:rPr>
        <w:t>, 112(47), pp. 14688–14693. Available at: https://doi.org/10.1073/pnas.1508114112.</w:t>
      </w:r>
    </w:p>
    <w:p w14:paraId="4147C245"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Ferguson, N.M. </w:t>
      </w:r>
      <w:r w:rsidRPr="006547C6">
        <w:rPr>
          <w:rFonts w:ascii="Times New Roman" w:hAnsi="Times New Roman" w:cs="Times New Roman"/>
          <w:i/>
          <w:iCs/>
        </w:rPr>
        <w:t>et al.</w:t>
      </w:r>
      <w:r w:rsidRPr="006547C6">
        <w:rPr>
          <w:rFonts w:ascii="Times New Roman" w:hAnsi="Times New Roman" w:cs="Times New Roman"/>
        </w:rPr>
        <w:t xml:space="preserve"> (2016) ‘Benefits and risks of the Sanofi-Pasteur dengue vaccine: Modeling optimal deployment’, </w:t>
      </w:r>
      <w:r w:rsidRPr="006547C6">
        <w:rPr>
          <w:rFonts w:ascii="Times New Roman" w:hAnsi="Times New Roman" w:cs="Times New Roman"/>
          <w:i/>
          <w:iCs/>
        </w:rPr>
        <w:t>Science</w:t>
      </w:r>
      <w:r w:rsidRPr="006547C6">
        <w:rPr>
          <w:rFonts w:ascii="Times New Roman" w:hAnsi="Times New Roman" w:cs="Times New Roman"/>
        </w:rPr>
        <w:t>, 353(6303), pp. 1033–1036. Available at: https://doi.org/10.1126/science.aaf9590.</w:t>
      </w:r>
    </w:p>
    <w:p w14:paraId="78F497CC"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Ferguson, N.M., Donnelly, C.A. and Anderson, R.M. (1999) ‘Transmission dynamics and epidemiology of dengue: insights from age–stratified sero–prevalence surveys’, </w:t>
      </w:r>
      <w:r w:rsidRPr="006547C6">
        <w:rPr>
          <w:rFonts w:ascii="Times New Roman" w:hAnsi="Times New Roman" w:cs="Times New Roman"/>
          <w:i/>
          <w:iCs/>
        </w:rPr>
        <w:t>Philosophical Transactions of the Royal Society of London. Series B: Biological Sciences</w:t>
      </w:r>
      <w:r w:rsidRPr="006547C6">
        <w:rPr>
          <w:rFonts w:ascii="Times New Roman" w:hAnsi="Times New Roman" w:cs="Times New Roman"/>
        </w:rPr>
        <w:t>. Edited by R. M. Anderson, 354(1384), pp. 757–768. Available at: https://doi.org/10.1098/rstb.1999.0428.</w:t>
      </w:r>
    </w:p>
    <w:p w14:paraId="5A7058EE"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Flasche, S. </w:t>
      </w:r>
      <w:r w:rsidRPr="006547C6">
        <w:rPr>
          <w:rFonts w:ascii="Times New Roman" w:hAnsi="Times New Roman" w:cs="Times New Roman"/>
          <w:i/>
          <w:iCs/>
        </w:rPr>
        <w:t>et al.</w:t>
      </w:r>
      <w:r w:rsidRPr="006547C6">
        <w:rPr>
          <w:rFonts w:ascii="Times New Roman" w:hAnsi="Times New Roman" w:cs="Times New Roman"/>
        </w:rPr>
        <w:t xml:space="preserve"> (2016) ‘The Long-Term Safety, Public Health Impact, and Cost-Effectiveness of Routine Vaccination with a Recombinant, Live-Attenuated Dengue Vaccine (Dengvaxia): A Model Comparison Study’, </w:t>
      </w:r>
      <w:r w:rsidRPr="006547C6">
        <w:rPr>
          <w:rFonts w:ascii="Times New Roman" w:hAnsi="Times New Roman" w:cs="Times New Roman"/>
          <w:i/>
          <w:iCs/>
        </w:rPr>
        <w:t>PLOS Medicine</w:t>
      </w:r>
      <w:r w:rsidRPr="006547C6">
        <w:rPr>
          <w:rFonts w:ascii="Times New Roman" w:hAnsi="Times New Roman" w:cs="Times New Roman"/>
        </w:rPr>
        <w:t>. Edited by L. Von Seidlein, 13(11), p. e1002181. Available at: https://doi.org/10.1371/journal.pmed.1002181.</w:t>
      </w:r>
    </w:p>
    <w:p w14:paraId="23108AFD"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Murgue, B. </w:t>
      </w:r>
      <w:r w:rsidRPr="006547C6">
        <w:rPr>
          <w:rFonts w:ascii="Times New Roman" w:hAnsi="Times New Roman" w:cs="Times New Roman"/>
          <w:i/>
          <w:iCs/>
        </w:rPr>
        <w:t>et al.</w:t>
      </w:r>
      <w:r w:rsidRPr="006547C6">
        <w:rPr>
          <w:rFonts w:ascii="Times New Roman" w:hAnsi="Times New Roman" w:cs="Times New Roman"/>
        </w:rPr>
        <w:t xml:space="preserve"> (2000) ‘Prospective study of the duration and magnitude of viraemia in children hospitalised during the 1996-1997 dengue-2 outbreak in French Polynesia’, </w:t>
      </w:r>
      <w:r w:rsidRPr="006547C6">
        <w:rPr>
          <w:rFonts w:ascii="Times New Roman" w:hAnsi="Times New Roman" w:cs="Times New Roman"/>
          <w:i/>
          <w:iCs/>
        </w:rPr>
        <w:t>Journal of Medical Virology</w:t>
      </w:r>
      <w:r w:rsidRPr="006547C6">
        <w:rPr>
          <w:rFonts w:ascii="Times New Roman" w:hAnsi="Times New Roman" w:cs="Times New Roman"/>
        </w:rPr>
        <w:t>, 60(4), pp. 432–438. Available at: https://doi.org/10.1002/(SICI)1096-9071(200004)60:4&lt;432::AID-JMV11&gt;3.0.CO;2-7.</w:t>
      </w:r>
    </w:p>
    <w:p w14:paraId="4CB0CE4C"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Quan, T.M. </w:t>
      </w:r>
      <w:r w:rsidRPr="006547C6">
        <w:rPr>
          <w:rFonts w:ascii="Times New Roman" w:hAnsi="Times New Roman" w:cs="Times New Roman"/>
          <w:i/>
          <w:iCs/>
        </w:rPr>
        <w:t>et al.</w:t>
      </w:r>
      <w:r w:rsidRPr="006547C6">
        <w:rPr>
          <w:rFonts w:ascii="Times New Roman" w:hAnsi="Times New Roman" w:cs="Times New Roman"/>
        </w:rPr>
        <w:t xml:space="preserve"> (2018) ‘Evidence of previous but not current transmission of chikungunya virus in southern and central Vietnam: Results from a systematic review and a seroprevalence study in four locations’, </w:t>
      </w:r>
      <w:r w:rsidRPr="006547C6">
        <w:rPr>
          <w:rFonts w:ascii="Times New Roman" w:hAnsi="Times New Roman" w:cs="Times New Roman"/>
          <w:i/>
          <w:iCs/>
        </w:rPr>
        <w:t>PLOS Neglected Tropical Diseases</w:t>
      </w:r>
      <w:r w:rsidRPr="006547C6">
        <w:rPr>
          <w:rFonts w:ascii="Times New Roman" w:hAnsi="Times New Roman" w:cs="Times New Roman"/>
        </w:rPr>
        <w:t>. Edited by B. Althouse, 12(2), p. e0006246. Available at: https://doi.org/10.1371/journal.pntd.0006246.</w:t>
      </w:r>
    </w:p>
    <w:p w14:paraId="35E710E7"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lastRenderedPageBreak/>
        <w:t xml:space="preserve">Rajarethinam, J. </w:t>
      </w:r>
      <w:r w:rsidRPr="006547C6">
        <w:rPr>
          <w:rFonts w:ascii="Times New Roman" w:hAnsi="Times New Roman" w:cs="Times New Roman"/>
          <w:i/>
          <w:iCs/>
        </w:rPr>
        <w:t>et al.</w:t>
      </w:r>
      <w:r w:rsidRPr="006547C6">
        <w:rPr>
          <w:rFonts w:ascii="Times New Roman" w:hAnsi="Times New Roman" w:cs="Times New Roman"/>
        </w:rPr>
        <w:t xml:space="preserve"> (2018) ‘Dengue in Singapore from 2004 to 2016: Cyclical Epidemic Patterns Dominated by Serotypes 1 and 2’, </w:t>
      </w:r>
      <w:r w:rsidRPr="006547C6">
        <w:rPr>
          <w:rFonts w:ascii="Times New Roman" w:hAnsi="Times New Roman" w:cs="Times New Roman"/>
          <w:i/>
          <w:iCs/>
        </w:rPr>
        <w:t>The American Journal of Tropical Medicine and Hygiene</w:t>
      </w:r>
      <w:r w:rsidRPr="006547C6">
        <w:rPr>
          <w:rFonts w:ascii="Times New Roman" w:hAnsi="Times New Roman" w:cs="Times New Roman"/>
        </w:rPr>
        <w:t>, 99(1), pp. 204–210. Available at: https://doi.org/10.4269/ajtmh.17-0819.</w:t>
      </w:r>
    </w:p>
    <w:p w14:paraId="7C8038D8"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Salazar, M.I. </w:t>
      </w:r>
      <w:r w:rsidRPr="006547C6">
        <w:rPr>
          <w:rFonts w:ascii="Times New Roman" w:hAnsi="Times New Roman" w:cs="Times New Roman"/>
          <w:i/>
          <w:iCs/>
        </w:rPr>
        <w:t>et al.</w:t>
      </w:r>
      <w:r w:rsidRPr="006547C6">
        <w:rPr>
          <w:rFonts w:ascii="Times New Roman" w:hAnsi="Times New Roman" w:cs="Times New Roman"/>
        </w:rPr>
        <w:t xml:space="preserve"> (2007) ‘Dengue virus type 2: replication and tropisms in orally infected Aedes aegypti mosquitoes’, </w:t>
      </w:r>
      <w:r w:rsidRPr="006547C6">
        <w:rPr>
          <w:rFonts w:ascii="Times New Roman" w:hAnsi="Times New Roman" w:cs="Times New Roman"/>
          <w:i/>
          <w:iCs/>
        </w:rPr>
        <w:t>BMC Microbiology</w:t>
      </w:r>
      <w:r w:rsidRPr="006547C6">
        <w:rPr>
          <w:rFonts w:ascii="Times New Roman" w:hAnsi="Times New Roman" w:cs="Times New Roman"/>
        </w:rPr>
        <w:t>, 7(1), p. 9. Available at: https://doi.org/10.1186/1471-2180-7-9.</w:t>
      </w:r>
    </w:p>
    <w:p w14:paraId="5E11A8E2"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i/>
          <w:iCs/>
        </w:rPr>
        <w:t>Singapore Population</w:t>
      </w:r>
      <w:r w:rsidRPr="006547C6">
        <w:rPr>
          <w:rFonts w:ascii="Times New Roman" w:hAnsi="Times New Roman" w:cs="Times New Roman"/>
        </w:rPr>
        <w:t xml:space="preserve"> (2024). Available at: http://www.singstat.gov.sg/modules/infographics/population (Accessed: 4 March 2024).</w:t>
      </w:r>
    </w:p>
    <w:p w14:paraId="6688CE06"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Tan, L.K. </w:t>
      </w:r>
      <w:r w:rsidRPr="006547C6">
        <w:rPr>
          <w:rFonts w:ascii="Times New Roman" w:hAnsi="Times New Roman" w:cs="Times New Roman"/>
          <w:i/>
          <w:iCs/>
        </w:rPr>
        <w:t>et al.</w:t>
      </w:r>
      <w:r w:rsidRPr="006547C6">
        <w:rPr>
          <w:rFonts w:ascii="Times New Roman" w:hAnsi="Times New Roman" w:cs="Times New Roman"/>
        </w:rPr>
        <w:t xml:space="preserve"> (2019) ‘Force of Infection and True Infection Rate of Dengue in Singapore: Implications for Dengue Control and Management’, </w:t>
      </w:r>
      <w:r w:rsidRPr="006547C6">
        <w:rPr>
          <w:rFonts w:ascii="Times New Roman" w:hAnsi="Times New Roman" w:cs="Times New Roman"/>
          <w:i/>
          <w:iCs/>
        </w:rPr>
        <w:t>American Journal of Epidemiology</w:t>
      </w:r>
      <w:r w:rsidRPr="006547C6">
        <w:rPr>
          <w:rFonts w:ascii="Times New Roman" w:hAnsi="Times New Roman" w:cs="Times New Roman"/>
        </w:rPr>
        <w:t>, 188(8), pp. 1529–1538. Available at: https://doi.org/10.1093/aje/kwz110.</w:t>
      </w:r>
    </w:p>
    <w:p w14:paraId="2954B9E9" w14:textId="77777777" w:rsidR="00145940" w:rsidRPr="006547C6" w:rsidRDefault="00145940" w:rsidP="00145940">
      <w:pPr>
        <w:pStyle w:val="Bibliography"/>
        <w:rPr>
          <w:rFonts w:ascii="Times New Roman" w:hAnsi="Times New Roman" w:cs="Times New Roman"/>
        </w:rPr>
      </w:pPr>
      <w:r w:rsidRPr="006547C6">
        <w:rPr>
          <w:rFonts w:ascii="Times New Roman" w:hAnsi="Times New Roman" w:cs="Times New Roman"/>
        </w:rPr>
        <w:t xml:space="preserve">Whitmire, R.E. </w:t>
      </w:r>
      <w:r w:rsidRPr="006547C6">
        <w:rPr>
          <w:rFonts w:ascii="Times New Roman" w:hAnsi="Times New Roman" w:cs="Times New Roman"/>
          <w:i/>
          <w:iCs/>
        </w:rPr>
        <w:t>et al.</w:t>
      </w:r>
      <w:r w:rsidRPr="006547C6">
        <w:rPr>
          <w:rFonts w:ascii="Times New Roman" w:hAnsi="Times New Roman" w:cs="Times New Roman"/>
        </w:rPr>
        <w:t xml:space="preserve"> (1987) ‘Effect of Temperature on the Vector Efficiency of Aedes aegypti for Dengue 2 Virus’, </w:t>
      </w:r>
      <w:r w:rsidRPr="006547C6">
        <w:rPr>
          <w:rFonts w:ascii="Times New Roman" w:hAnsi="Times New Roman" w:cs="Times New Roman"/>
          <w:i/>
          <w:iCs/>
        </w:rPr>
        <w:t>The American Journal of Tropical Medicine and Hygiene</w:t>
      </w:r>
      <w:r w:rsidRPr="006547C6">
        <w:rPr>
          <w:rFonts w:ascii="Times New Roman" w:hAnsi="Times New Roman" w:cs="Times New Roman"/>
        </w:rPr>
        <w:t>, 36(1), pp. 143–152. Available at: https://doi.org/10.4269/ajtmh.1987.36.143.</w:t>
      </w:r>
    </w:p>
    <w:p w14:paraId="326CF18B" w14:textId="77777777" w:rsidR="00145940" w:rsidRPr="001C4607" w:rsidRDefault="00145940" w:rsidP="00145940">
      <w:pPr>
        <w:rPr>
          <w:rFonts w:ascii="Arial" w:hAnsi="Arial" w:cs="Arial"/>
        </w:rPr>
      </w:pPr>
      <w:r w:rsidRPr="006547C6">
        <w:rPr>
          <w:rFonts w:ascii="Times New Roman" w:hAnsi="Times New Roman" w:cs="Times New Roman"/>
        </w:rPr>
        <w:fldChar w:fldCharType="end"/>
      </w:r>
    </w:p>
    <w:p w14:paraId="1DFE1310" w14:textId="77777777" w:rsidR="00877EA1" w:rsidRDefault="00877EA1"/>
    <w:p w14:paraId="6CD1C8C9" w14:textId="77777777" w:rsidR="00253378" w:rsidRDefault="00253378"/>
    <w:p w14:paraId="66C96948" w14:textId="77777777" w:rsidR="00253378" w:rsidRDefault="00253378"/>
    <w:p w14:paraId="34DFB693" w14:textId="77777777" w:rsidR="00253378" w:rsidRDefault="00253378"/>
    <w:p w14:paraId="18EFB8EF" w14:textId="77777777" w:rsidR="00253378" w:rsidRDefault="00253378"/>
    <w:p w14:paraId="08794F77" w14:textId="77777777" w:rsidR="00253378" w:rsidRDefault="00253378"/>
    <w:p w14:paraId="246EC706" w14:textId="77777777" w:rsidR="00253378" w:rsidRDefault="00253378"/>
    <w:sectPr w:rsidR="00253378" w:rsidSect="001459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Noto Serif CJK SC">
    <w:altName w:val="Calibri"/>
    <w:charset w:val="00"/>
    <w:family w:val="auto"/>
    <w:pitch w:val="variable"/>
  </w:font>
  <w:font w:name="Lohit Devanagari">
    <w:altName w:val="Cambria"/>
    <w:charset w:val="00"/>
    <w:family w:val="auto"/>
    <w:pitch w:val="variable"/>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83C84"/>
    <w:multiLevelType w:val="hybridMultilevel"/>
    <w:tmpl w:val="E7AC74A2"/>
    <w:lvl w:ilvl="0" w:tplc="61102EE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7565E"/>
    <w:multiLevelType w:val="hybridMultilevel"/>
    <w:tmpl w:val="BFC20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661918"/>
    <w:multiLevelType w:val="hybridMultilevel"/>
    <w:tmpl w:val="05DC2716"/>
    <w:lvl w:ilvl="0" w:tplc="04090003">
      <w:start w:val="1"/>
      <w:numFmt w:val="bullet"/>
      <w:lvlText w:val="o"/>
      <w:lvlJc w:val="left"/>
      <w:pPr>
        <w:ind w:left="1080" w:hanging="72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B3309F"/>
    <w:multiLevelType w:val="hybridMultilevel"/>
    <w:tmpl w:val="9D262FFA"/>
    <w:lvl w:ilvl="0" w:tplc="1798784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0F213DA"/>
    <w:multiLevelType w:val="hybridMultilevel"/>
    <w:tmpl w:val="CA6E96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94067"/>
    <w:multiLevelType w:val="multilevel"/>
    <w:tmpl w:val="C2C204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F060A45"/>
    <w:multiLevelType w:val="hybridMultilevel"/>
    <w:tmpl w:val="91AACDA8"/>
    <w:lvl w:ilvl="0" w:tplc="7D2C94A8">
      <w:start w:val="1"/>
      <w:numFmt w:val="lowerRoman"/>
      <w:lvlText w:val="(%1)"/>
      <w:lvlJc w:val="left"/>
      <w:pPr>
        <w:ind w:left="770" w:hanging="720"/>
      </w:pPr>
      <w:rPr>
        <w:rFonts w:hint="default"/>
      </w:rPr>
    </w:lvl>
    <w:lvl w:ilvl="1" w:tplc="48090019" w:tentative="1">
      <w:start w:val="1"/>
      <w:numFmt w:val="lowerLetter"/>
      <w:lvlText w:val="%2."/>
      <w:lvlJc w:val="left"/>
      <w:pPr>
        <w:ind w:left="1130" w:hanging="360"/>
      </w:pPr>
    </w:lvl>
    <w:lvl w:ilvl="2" w:tplc="4809001B" w:tentative="1">
      <w:start w:val="1"/>
      <w:numFmt w:val="lowerRoman"/>
      <w:lvlText w:val="%3."/>
      <w:lvlJc w:val="right"/>
      <w:pPr>
        <w:ind w:left="1850" w:hanging="180"/>
      </w:pPr>
    </w:lvl>
    <w:lvl w:ilvl="3" w:tplc="4809000F" w:tentative="1">
      <w:start w:val="1"/>
      <w:numFmt w:val="decimal"/>
      <w:lvlText w:val="%4."/>
      <w:lvlJc w:val="left"/>
      <w:pPr>
        <w:ind w:left="2570" w:hanging="360"/>
      </w:pPr>
    </w:lvl>
    <w:lvl w:ilvl="4" w:tplc="48090019" w:tentative="1">
      <w:start w:val="1"/>
      <w:numFmt w:val="lowerLetter"/>
      <w:lvlText w:val="%5."/>
      <w:lvlJc w:val="left"/>
      <w:pPr>
        <w:ind w:left="3290" w:hanging="360"/>
      </w:pPr>
    </w:lvl>
    <w:lvl w:ilvl="5" w:tplc="4809001B" w:tentative="1">
      <w:start w:val="1"/>
      <w:numFmt w:val="lowerRoman"/>
      <w:lvlText w:val="%6."/>
      <w:lvlJc w:val="right"/>
      <w:pPr>
        <w:ind w:left="4010" w:hanging="180"/>
      </w:pPr>
    </w:lvl>
    <w:lvl w:ilvl="6" w:tplc="4809000F" w:tentative="1">
      <w:start w:val="1"/>
      <w:numFmt w:val="decimal"/>
      <w:lvlText w:val="%7."/>
      <w:lvlJc w:val="left"/>
      <w:pPr>
        <w:ind w:left="4730" w:hanging="360"/>
      </w:pPr>
    </w:lvl>
    <w:lvl w:ilvl="7" w:tplc="48090019" w:tentative="1">
      <w:start w:val="1"/>
      <w:numFmt w:val="lowerLetter"/>
      <w:lvlText w:val="%8."/>
      <w:lvlJc w:val="left"/>
      <w:pPr>
        <w:ind w:left="5450" w:hanging="360"/>
      </w:pPr>
    </w:lvl>
    <w:lvl w:ilvl="8" w:tplc="4809001B" w:tentative="1">
      <w:start w:val="1"/>
      <w:numFmt w:val="lowerRoman"/>
      <w:lvlText w:val="%9."/>
      <w:lvlJc w:val="right"/>
      <w:pPr>
        <w:ind w:left="6170" w:hanging="180"/>
      </w:pPr>
    </w:lvl>
  </w:abstractNum>
  <w:abstractNum w:abstractNumId="7" w15:restartNumberingAfterBreak="0">
    <w:nsid w:val="406C437C"/>
    <w:multiLevelType w:val="hybridMultilevel"/>
    <w:tmpl w:val="55D2D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336E5A"/>
    <w:multiLevelType w:val="hybridMultilevel"/>
    <w:tmpl w:val="6D524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9615A"/>
    <w:multiLevelType w:val="hybridMultilevel"/>
    <w:tmpl w:val="908A8F54"/>
    <w:lvl w:ilvl="0" w:tplc="C74E74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5E5999"/>
    <w:multiLevelType w:val="multilevel"/>
    <w:tmpl w:val="03FC37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6A6C01"/>
    <w:multiLevelType w:val="hybridMultilevel"/>
    <w:tmpl w:val="4F805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5921884"/>
    <w:multiLevelType w:val="hybridMultilevel"/>
    <w:tmpl w:val="8BB29FE4"/>
    <w:lvl w:ilvl="0" w:tplc="1EFC2BA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5A54A5"/>
    <w:multiLevelType w:val="hybridMultilevel"/>
    <w:tmpl w:val="0E5896C0"/>
    <w:lvl w:ilvl="0" w:tplc="04090003">
      <w:start w:val="1"/>
      <w:numFmt w:val="bullet"/>
      <w:lvlText w:val="o"/>
      <w:lvlJc w:val="left"/>
      <w:pPr>
        <w:ind w:left="840" w:hanging="360"/>
      </w:pPr>
      <w:rPr>
        <w:rFonts w:ascii="Courier New" w:hAnsi="Courier New" w:cs="Courier New"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4" w15:restartNumberingAfterBreak="0">
    <w:nsid w:val="596F4D9A"/>
    <w:multiLevelType w:val="hybridMultilevel"/>
    <w:tmpl w:val="4094CAE0"/>
    <w:lvl w:ilvl="0" w:tplc="D49E5EF4">
      <w:start w:val="1"/>
      <w:numFmt w:val="lowerRoman"/>
      <w:lvlText w:val="(%1)"/>
      <w:lvlJc w:val="left"/>
      <w:pPr>
        <w:ind w:left="1080" w:hanging="720"/>
      </w:pPr>
      <w:rPr>
        <w:rFonts w:ascii="Cambria" w:eastAsiaTheme="minorHAnsi" w:hAnsi="Cambria" w:cs="Cambria" w:hint="default"/>
        <w:sz w:val="23"/>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AC329C8"/>
    <w:multiLevelType w:val="multilevel"/>
    <w:tmpl w:val="29B43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D117C8"/>
    <w:multiLevelType w:val="hybridMultilevel"/>
    <w:tmpl w:val="B9821F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9175F3B"/>
    <w:multiLevelType w:val="hybridMultilevel"/>
    <w:tmpl w:val="B8C28D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93A23B9"/>
    <w:multiLevelType w:val="hybridMultilevel"/>
    <w:tmpl w:val="CC709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CC9200A"/>
    <w:multiLevelType w:val="hybridMultilevel"/>
    <w:tmpl w:val="C03E93DC"/>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0" w15:restartNumberingAfterBreak="0">
    <w:nsid w:val="6CE30E0D"/>
    <w:multiLevelType w:val="multilevel"/>
    <w:tmpl w:val="67A8E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807EC"/>
    <w:multiLevelType w:val="hybridMultilevel"/>
    <w:tmpl w:val="B8C28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B35840"/>
    <w:multiLevelType w:val="hybridMultilevel"/>
    <w:tmpl w:val="89E24DBE"/>
    <w:lvl w:ilvl="0" w:tplc="4DBC89BC">
      <w:start w:val="1"/>
      <w:numFmt w:val="decimal"/>
      <w:lvlText w:val="%1."/>
      <w:lvlJc w:val="left"/>
      <w:pPr>
        <w:ind w:left="1080" w:hanging="360"/>
      </w:pPr>
      <w:rPr>
        <w:rFonts w:eastAsiaTheme="minorHAns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43D1171"/>
    <w:multiLevelType w:val="hybridMultilevel"/>
    <w:tmpl w:val="4094CAE0"/>
    <w:lvl w:ilvl="0" w:tplc="FFFFFFFF">
      <w:start w:val="1"/>
      <w:numFmt w:val="lowerRoman"/>
      <w:lvlText w:val="(%1)"/>
      <w:lvlJc w:val="left"/>
      <w:pPr>
        <w:ind w:left="1080" w:hanging="720"/>
      </w:pPr>
      <w:rPr>
        <w:rFonts w:ascii="Cambria" w:eastAsiaTheme="minorHAnsi" w:hAnsi="Cambria" w:cs="Cambria" w:hint="default"/>
        <w:sz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DE04A49"/>
    <w:multiLevelType w:val="hybridMultilevel"/>
    <w:tmpl w:val="CF7A2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5C66E4"/>
    <w:multiLevelType w:val="hybridMultilevel"/>
    <w:tmpl w:val="3930316E"/>
    <w:lvl w:ilvl="0" w:tplc="036CA67A">
      <w:start w:val="1"/>
      <w:numFmt w:val="lowerRoman"/>
      <w:lvlText w:val="(%1)"/>
      <w:lvlJc w:val="left"/>
      <w:pPr>
        <w:ind w:left="1080" w:hanging="720"/>
      </w:pPr>
      <w:rPr>
        <w:rFonts w:eastAsiaTheme="minorHAnsi"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F773FD4"/>
    <w:multiLevelType w:val="hybridMultilevel"/>
    <w:tmpl w:val="44BEA04C"/>
    <w:lvl w:ilvl="0" w:tplc="0409001B">
      <w:start w:val="1"/>
      <w:numFmt w:val="low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0820623">
    <w:abstractNumId w:val="9"/>
  </w:num>
  <w:num w:numId="2" w16cid:durableId="1888714412">
    <w:abstractNumId w:val="4"/>
  </w:num>
  <w:num w:numId="3" w16cid:durableId="1709993108">
    <w:abstractNumId w:val="6"/>
  </w:num>
  <w:num w:numId="4" w16cid:durableId="1144546055">
    <w:abstractNumId w:val="21"/>
  </w:num>
  <w:num w:numId="5" w16cid:durableId="677074319">
    <w:abstractNumId w:val="17"/>
  </w:num>
  <w:num w:numId="6" w16cid:durableId="218252033">
    <w:abstractNumId w:val="11"/>
  </w:num>
  <w:num w:numId="7" w16cid:durableId="349646325">
    <w:abstractNumId w:val="16"/>
  </w:num>
  <w:num w:numId="8" w16cid:durableId="496267719">
    <w:abstractNumId w:val="7"/>
  </w:num>
  <w:num w:numId="9" w16cid:durableId="577176936">
    <w:abstractNumId w:val="22"/>
  </w:num>
  <w:num w:numId="10" w16cid:durableId="213003260">
    <w:abstractNumId w:val="3"/>
  </w:num>
  <w:num w:numId="11" w16cid:durableId="1549292302">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2" w16cid:durableId="208498739">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3" w16cid:durableId="386993624">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4" w16cid:durableId="1091126551">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5" w16cid:durableId="902719664">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6" w16cid:durableId="80221549">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7" w16cid:durableId="734663238">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8" w16cid:durableId="1080104411">
    <w:abstractNumId w:val="20"/>
    <w:lvlOverride w:ilvl="0">
      <w:lvl w:ilvl="0">
        <w:start w:val="1"/>
        <w:numFmt w:val="decimal"/>
        <w:lvlText w:val="o"/>
        <w:lvlJc w:val="left"/>
        <w:pPr>
          <w:tabs>
            <w:tab w:val="num" w:pos="720"/>
          </w:tabs>
          <w:ind w:left="720" w:hanging="360"/>
        </w:pPr>
        <w:rPr>
          <w:rFonts w:ascii="Courier New" w:hAnsi="Courier New" w:cs="Times New Roman" w:hint="default"/>
          <w:sz w:val="20"/>
        </w:rPr>
      </w:lvl>
    </w:lvlOverride>
    <w:lvlOverride w:ilvl="1">
      <w:lvl w:ilvl="1">
        <w:numFmt w:val="decimal"/>
        <w:lvlText w:val=""/>
        <w:lvlJc w:val="left"/>
      </w:lvl>
    </w:lvlOverride>
    <w:lvlOverride w:ilvl="2">
      <w:lvl w:ilvl="2">
        <w:numFmt w:val="decimal"/>
        <w:lvlText w:val=""/>
        <w:lvlJc w:val="left"/>
      </w:lvl>
    </w:lvlOverride>
    <w:lvlOverride w:ilvl="3">
      <w:lvl w:ilvl="3">
        <w:numFmt w:val="decimal"/>
        <w:lvlText w:val=""/>
        <w:lvlJc w:val="left"/>
      </w:lvl>
    </w:lvlOverride>
    <w:lvlOverride w:ilvl="4">
      <w:lvl w:ilvl="4">
        <w:numFmt w:val="decimal"/>
        <w:lvlText w:val=""/>
        <w:lvlJc w:val="left"/>
      </w:lvl>
    </w:lvlOverride>
    <w:lvlOverride w:ilvl="5">
      <w:lvl w:ilvl="5">
        <w:numFmt w:val="decimal"/>
        <w:lvlText w:val=""/>
        <w:lvlJc w:val="left"/>
      </w:lvl>
    </w:lvlOverride>
    <w:lvlOverride w:ilvl="6">
      <w:lvl w:ilvl="6">
        <w:numFmt w:val="decimal"/>
        <w:lvlText w:val=""/>
        <w:lvlJc w:val="left"/>
      </w:lvl>
    </w:lvlOverride>
    <w:lvlOverride w:ilvl="7">
      <w:lvl w:ilvl="7">
        <w:numFmt w:val="decimal"/>
        <w:lvlText w:val=""/>
        <w:lvlJc w:val="left"/>
      </w:lvl>
    </w:lvlOverride>
    <w:lvlOverride w:ilvl="8">
      <w:lvl w:ilvl="8">
        <w:numFmt w:val="decimal"/>
        <w:lvlText w:val=""/>
        <w:lvlJc w:val="left"/>
      </w:lvl>
    </w:lvlOverride>
  </w:num>
  <w:num w:numId="19" w16cid:durableId="737021314">
    <w:abstractNumId w:val="24"/>
  </w:num>
  <w:num w:numId="20" w16cid:durableId="1034765162">
    <w:abstractNumId w:val="5"/>
  </w:num>
  <w:num w:numId="21" w16cid:durableId="1077900917">
    <w:abstractNumId w:val="15"/>
  </w:num>
  <w:num w:numId="22" w16cid:durableId="1120107049">
    <w:abstractNumId w:val="10"/>
    <w:lvlOverride w:ilvl="0">
      <w:lvl w:ilvl="0">
        <w:numFmt w:val="decimal"/>
        <w:lvlText w:val="%1."/>
        <w:lvlJc w:val="left"/>
      </w:lvl>
    </w:lvlOverride>
  </w:num>
  <w:num w:numId="23" w16cid:durableId="647712215">
    <w:abstractNumId w:val="14"/>
  </w:num>
  <w:num w:numId="24" w16cid:durableId="1158686752">
    <w:abstractNumId w:val="23"/>
  </w:num>
  <w:num w:numId="25" w16cid:durableId="2135440390">
    <w:abstractNumId w:val="25"/>
  </w:num>
  <w:num w:numId="26" w16cid:durableId="1303802912">
    <w:abstractNumId w:val="8"/>
  </w:num>
  <w:num w:numId="27" w16cid:durableId="2083986469">
    <w:abstractNumId w:val="18"/>
  </w:num>
  <w:num w:numId="28" w16cid:durableId="852106265">
    <w:abstractNumId w:val="12"/>
  </w:num>
  <w:num w:numId="29" w16cid:durableId="1202480559">
    <w:abstractNumId w:val="0"/>
  </w:num>
  <w:num w:numId="30" w16cid:durableId="49696328">
    <w:abstractNumId w:val="1"/>
  </w:num>
  <w:num w:numId="31" w16cid:durableId="557084718">
    <w:abstractNumId w:val="19"/>
  </w:num>
  <w:num w:numId="32" w16cid:durableId="471868937">
    <w:abstractNumId w:val="13"/>
  </w:num>
  <w:num w:numId="33" w16cid:durableId="1508518487">
    <w:abstractNumId w:val="2"/>
  </w:num>
  <w:num w:numId="34" w16cid:durableId="18517243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E3A"/>
    <w:rsid w:val="00000220"/>
    <w:rsid w:val="00023170"/>
    <w:rsid w:val="00035A86"/>
    <w:rsid w:val="0004488C"/>
    <w:rsid w:val="00047D25"/>
    <w:rsid w:val="00052353"/>
    <w:rsid w:val="00063E03"/>
    <w:rsid w:val="00085C79"/>
    <w:rsid w:val="000C177B"/>
    <w:rsid w:val="000C1DA6"/>
    <w:rsid w:val="000D2D2F"/>
    <w:rsid w:val="001024AB"/>
    <w:rsid w:val="00105596"/>
    <w:rsid w:val="00114BE0"/>
    <w:rsid w:val="00117604"/>
    <w:rsid w:val="00120E79"/>
    <w:rsid w:val="00122561"/>
    <w:rsid w:val="0013161B"/>
    <w:rsid w:val="001456C7"/>
    <w:rsid w:val="00145940"/>
    <w:rsid w:val="001556C0"/>
    <w:rsid w:val="0016089A"/>
    <w:rsid w:val="0016137F"/>
    <w:rsid w:val="00166EAE"/>
    <w:rsid w:val="001827FB"/>
    <w:rsid w:val="0018309F"/>
    <w:rsid w:val="0019209B"/>
    <w:rsid w:val="00193668"/>
    <w:rsid w:val="001939F4"/>
    <w:rsid w:val="001A7787"/>
    <w:rsid w:val="001C0EE9"/>
    <w:rsid w:val="001D0AE5"/>
    <w:rsid w:val="00200E31"/>
    <w:rsid w:val="00205AE3"/>
    <w:rsid w:val="00212BC2"/>
    <w:rsid w:val="00244982"/>
    <w:rsid w:val="00253378"/>
    <w:rsid w:val="002670A6"/>
    <w:rsid w:val="00281424"/>
    <w:rsid w:val="00286ED2"/>
    <w:rsid w:val="00293184"/>
    <w:rsid w:val="002C1450"/>
    <w:rsid w:val="002D2C8B"/>
    <w:rsid w:val="002D3E77"/>
    <w:rsid w:val="002F294E"/>
    <w:rsid w:val="0030578B"/>
    <w:rsid w:val="00324919"/>
    <w:rsid w:val="00324E15"/>
    <w:rsid w:val="00325A9C"/>
    <w:rsid w:val="0033402F"/>
    <w:rsid w:val="003412F7"/>
    <w:rsid w:val="003506A8"/>
    <w:rsid w:val="00372996"/>
    <w:rsid w:val="00372D04"/>
    <w:rsid w:val="003743DC"/>
    <w:rsid w:val="00375AB7"/>
    <w:rsid w:val="0037757D"/>
    <w:rsid w:val="0038054F"/>
    <w:rsid w:val="00391276"/>
    <w:rsid w:val="003A6781"/>
    <w:rsid w:val="003C41E3"/>
    <w:rsid w:val="003D4B2A"/>
    <w:rsid w:val="003E2138"/>
    <w:rsid w:val="003E5179"/>
    <w:rsid w:val="00401E06"/>
    <w:rsid w:val="0041273D"/>
    <w:rsid w:val="00431331"/>
    <w:rsid w:val="00445FE6"/>
    <w:rsid w:val="004567C4"/>
    <w:rsid w:val="004830B0"/>
    <w:rsid w:val="00485CD8"/>
    <w:rsid w:val="00496243"/>
    <w:rsid w:val="004C1368"/>
    <w:rsid w:val="004C19AF"/>
    <w:rsid w:val="004C2380"/>
    <w:rsid w:val="004C5C98"/>
    <w:rsid w:val="004D0192"/>
    <w:rsid w:val="004E4B25"/>
    <w:rsid w:val="004F196F"/>
    <w:rsid w:val="004F3448"/>
    <w:rsid w:val="005036E4"/>
    <w:rsid w:val="00543873"/>
    <w:rsid w:val="00550989"/>
    <w:rsid w:val="00590FB6"/>
    <w:rsid w:val="005A511C"/>
    <w:rsid w:val="005B2D40"/>
    <w:rsid w:val="005B4CEF"/>
    <w:rsid w:val="005C36CB"/>
    <w:rsid w:val="005E4046"/>
    <w:rsid w:val="005F71C1"/>
    <w:rsid w:val="00604CF2"/>
    <w:rsid w:val="0061688A"/>
    <w:rsid w:val="0063189D"/>
    <w:rsid w:val="006332FD"/>
    <w:rsid w:val="006547C6"/>
    <w:rsid w:val="0066248A"/>
    <w:rsid w:val="0067127F"/>
    <w:rsid w:val="00681AEB"/>
    <w:rsid w:val="006C0219"/>
    <w:rsid w:val="006C4BC9"/>
    <w:rsid w:val="006E62C7"/>
    <w:rsid w:val="006F2CEE"/>
    <w:rsid w:val="006F5968"/>
    <w:rsid w:val="00725C68"/>
    <w:rsid w:val="007329D3"/>
    <w:rsid w:val="0076059B"/>
    <w:rsid w:val="00760986"/>
    <w:rsid w:val="007715A9"/>
    <w:rsid w:val="007766A5"/>
    <w:rsid w:val="007834F0"/>
    <w:rsid w:val="007849B6"/>
    <w:rsid w:val="007A3DFE"/>
    <w:rsid w:val="007A4F8A"/>
    <w:rsid w:val="007A5E97"/>
    <w:rsid w:val="007C0BE6"/>
    <w:rsid w:val="007D3C9D"/>
    <w:rsid w:val="007D7D77"/>
    <w:rsid w:val="007E5E96"/>
    <w:rsid w:val="007E7DD1"/>
    <w:rsid w:val="008019DB"/>
    <w:rsid w:val="00837D75"/>
    <w:rsid w:val="00864C8E"/>
    <w:rsid w:val="00870523"/>
    <w:rsid w:val="00872F47"/>
    <w:rsid w:val="00877EA1"/>
    <w:rsid w:val="008964AB"/>
    <w:rsid w:val="008A3A3B"/>
    <w:rsid w:val="008A6F84"/>
    <w:rsid w:val="008B5E46"/>
    <w:rsid w:val="008C56F1"/>
    <w:rsid w:val="008D0EF2"/>
    <w:rsid w:val="008E00ED"/>
    <w:rsid w:val="008E27AB"/>
    <w:rsid w:val="008E59D6"/>
    <w:rsid w:val="008E77B0"/>
    <w:rsid w:val="008F1146"/>
    <w:rsid w:val="0091556B"/>
    <w:rsid w:val="00965227"/>
    <w:rsid w:val="00976E3A"/>
    <w:rsid w:val="0097753A"/>
    <w:rsid w:val="009821A7"/>
    <w:rsid w:val="00992FBE"/>
    <w:rsid w:val="009A233A"/>
    <w:rsid w:val="009A3577"/>
    <w:rsid w:val="009B2581"/>
    <w:rsid w:val="009B431B"/>
    <w:rsid w:val="009B6594"/>
    <w:rsid w:val="009C0EFC"/>
    <w:rsid w:val="009D1A21"/>
    <w:rsid w:val="00A01E77"/>
    <w:rsid w:val="00A27EEE"/>
    <w:rsid w:val="00A36DD4"/>
    <w:rsid w:val="00A3708D"/>
    <w:rsid w:val="00A401C6"/>
    <w:rsid w:val="00A52C42"/>
    <w:rsid w:val="00A7216A"/>
    <w:rsid w:val="00AA4551"/>
    <w:rsid w:val="00AB0864"/>
    <w:rsid w:val="00AC3CEB"/>
    <w:rsid w:val="00AD0051"/>
    <w:rsid w:val="00B1293D"/>
    <w:rsid w:val="00B4036E"/>
    <w:rsid w:val="00B45543"/>
    <w:rsid w:val="00B50312"/>
    <w:rsid w:val="00B66055"/>
    <w:rsid w:val="00B677A8"/>
    <w:rsid w:val="00B71888"/>
    <w:rsid w:val="00B727D0"/>
    <w:rsid w:val="00B73E0C"/>
    <w:rsid w:val="00BA6C88"/>
    <w:rsid w:val="00BB4FA5"/>
    <w:rsid w:val="00BE33B8"/>
    <w:rsid w:val="00BF1101"/>
    <w:rsid w:val="00C126E5"/>
    <w:rsid w:val="00C21CC1"/>
    <w:rsid w:val="00C31D8E"/>
    <w:rsid w:val="00C33103"/>
    <w:rsid w:val="00C6494E"/>
    <w:rsid w:val="00C6610E"/>
    <w:rsid w:val="00C661F2"/>
    <w:rsid w:val="00C73565"/>
    <w:rsid w:val="00C75F12"/>
    <w:rsid w:val="00C90B2B"/>
    <w:rsid w:val="00C90FDC"/>
    <w:rsid w:val="00C928CB"/>
    <w:rsid w:val="00C9313E"/>
    <w:rsid w:val="00CB0D0A"/>
    <w:rsid w:val="00CC0BDA"/>
    <w:rsid w:val="00CC2672"/>
    <w:rsid w:val="00CC4A67"/>
    <w:rsid w:val="00CF1D22"/>
    <w:rsid w:val="00CF5854"/>
    <w:rsid w:val="00D019BA"/>
    <w:rsid w:val="00D035BC"/>
    <w:rsid w:val="00D06A07"/>
    <w:rsid w:val="00D14232"/>
    <w:rsid w:val="00D32A86"/>
    <w:rsid w:val="00D5089C"/>
    <w:rsid w:val="00D57C2F"/>
    <w:rsid w:val="00D720E3"/>
    <w:rsid w:val="00D723FE"/>
    <w:rsid w:val="00D84AC0"/>
    <w:rsid w:val="00D92A1B"/>
    <w:rsid w:val="00D964E6"/>
    <w:rsid w:val="00DA7655"/>
    <w:rsid w:val="00DD19B4"/>
    <w:rsid w:val="00DF17C4"/>
    <w:rsid w:val="00E07E92"/>
    <w:rsid w:val="00E22792"/>
    <w:rsid w:val="00E35802"/>
    <w:rsid w:val="00E36D7F"/>
    <w:rsid w:val="00E4283E"/>
    <w:rsid w:val="00E45529"/>
    <w:rsid w:val="00E67F4B"/>
    <w:rsid w:val="00E91ACB"/>
    <w:rsid w:val="00E9206B"/>
    <w:rsid w:val="00EB0C2D"/>
    <w:rsid w:val="00EB285C"/>
    <w:rsid w:val="00EB6205"/>
    <w:rsid w:val="00EC01C6"/>
    <w:rsid w:val="00EC6387"/>
    <w:rsid w:val="00ED42DF"/>
    <w:rsid w:val="00ED59A3"/>
    <w:rsid w:val="00F12553"/>
    <w:rsid w:val="00F16644"/>
    <w:rsid w:val="00F203CE"/>
    <w:rsid w:val="00F41985"/>
    <w:rsid w:val="00F43CD8"/>
    <w:rsid w:val="00F46495"/>
    <w:rsid w:val="00F7728E"/>
    <w:rsid w:val="00FA02C8"/>
    <w:rsid w:val="00FA17A9"/>
    <w:rsid w:val="00FB0F67"/>
    <w:rsid w:val="00FC62ED"/>
    <w:rsid w:val="00FF11DF"/>
    <w:rsid w:val="00FF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1E6A9"/>
  <w15:chartTrackingRefBased/>
  <w15:docId w15:val="{A1A24504-4A91-4431-953A-D6090F041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940"/>
  </w:style>
  <w:style w:type="paragraph" w:styleId="Heading1">
    <w:name w:val="heading 1"/>
    <w:basedOn w:val="Normal"/>
    <w:next w:val="Normal"/>
    <w:link w:val="Heading1Char"/>
    <w:uiPriority w:val="9"/>
    <w:qFormat/>
    <w:rsid w:val="00976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6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6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6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6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6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6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6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6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6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6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6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6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6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6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6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6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6E3A"/>
    <w:rPr>
      <w:rFonts w:eastAsiaTheme="majorEastAsia" w:cstheme="majorBidi"/>
      <w:color w:val="272727" w:themeColor="text1" w:themeTint="D8"/>
    </w:rPr>
  </w:style>
  <w:style w:type="paragraph" w:styleId="Title">
    <w:name w:val="Title"/>
    <w:basedOn w:val="Normal"/>
    <w:next w:val="Normal"/>
    <w:link w:val="TitleChar"/>
    <w:uiPriority w:val="10"/>
    <w:qFormat/>
    <w:rsid w:val="00976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6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6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6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6E3A"/>
    <w:pPr>
      <w:spacing w:before="160"/>
      <w:jc w:val="center"/>
    </w:pPr>
    <w:rPr>
      <w:i/>
      <w:iCs/>
      <w:color w:val="404040" w:themeColor="text1" w:themeTint="BF"/>
    </w:rPr>
  </w:style>
  <w:style w:type="character" w:customStyle="1" w:styleId="QuoteChar">
    <w:name w:val="Quote Char"/>
    <w:basedOn w:val="DefaultParagraphFont"/>
    <w:link w:val="Quote"/>
    <w:uiPriority w:val="29"/>
    <w:rsid w:val="00976E3A"/>
    <w:rPr>
      <w:i/>
      <w:iCs/>
      <w:color w:val="404040" w:themeColor="text1" w:themeTint="BF"/>
    </w:rPr>
  </w:style>
  <w:style w:type="paragraph" w:styleId="ListParagraph">
    <w:name w:val="List Paragraph"/>
    <w:basedOn w:val="Normal"/>
    <w:uiPriority w:val="34"/>
    <w:qFormat/>
    <w:rsid w:val="00976E3A"/>
    <w:pPr>
      <w:ind w:left="720"/>
      <w:contextualSpacing/>
    </w:pPr>
  </w:style>
  <w:style w:type="character" w:styleId="IntenseEmphasis">
    <w:name w:val="Intense Emphasis"/>
    <w:basedOn w:val="DefaultParagraphFont"/>
    <w:uiPriority w:val="21"/>
    <w:qFormat/>
    <w:rsid w:val="00976E3A"/>
    <w:rPr>
      <w:i/>
      <w:iCs/>
      <w:color w:val="0F4761" w:themeColor="accent1" w:themeShade="BF"/>
    </w:rPr>
  </w:style>
  <w:style w:type="paragraph" w:styleId="IntenseQuote">
    <w:name w:val="Intense Quote"/>
    <w:basedOn w:val="Normal"/>
    <w:next w:val="Normal"/>
    <w:link w:val="IntenseQuoteChar"/>
    <w:uiPriority w:val="30"/>
    <w:qFormat/>
    <w:rsid w:val="00976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6E3A"/>
    <w:rPr>
      <w:i/>
      <w:iCs/>
      <w:color w:val="0F4761" w:themeColor="accent1" w:themeShade="BF"/>
    </w:rPr>
  </w:style>
  <w:style w:type="character" w:styleId="IntenseReference">
    <w:name w:val="Intense Reference"/>
    <w:basedOn w:val="DefaultParagraphFont"/>
    <w:uiPriority w:val="32"/>
    <w:qFormat/>
    <w:rsid w:val="00976E3A"/>
    <w:rPr>
      <w:b/>
      <w:bCs/>
      <w:smallCaps/>
      <w:color w:val="0F4761" w:themeColor="accent1" w:themeShade="BF"/>
      <w:spacing w:val="5"/>
    </w:rPr>
  </w:style>
  <w:style w:type="character" w:styleId="PlaceholderText">
    <w:name w:val="Placeholder Text"/>
    <w:basedOn w:val="DefaultParagraphFont"/>
    <w:uiPriority w:val="99"/>
    <w:semiHidden/>
    <w:rsid w:val="00145940"/>
    <w:rPr>
      <w:color w:val="666666"/>
    </w:rPr>
  </w:style>
  <w:style w:type="paragraph" w:styleId="Caption">
    <w:name w:val="caption"/>
    <w:basedOn w:val="Normal"/>
    <w:next w:val="Normal"/>
    <w:uiPriority w:val="35"/>
    <w:unhideWhenUsed/>
    <w:qFormat/>
    <w:rsid w:val="00145940"/>
    <w:pPr>
      <w:spacing w:after="200" w:line="240" w:lineRule="auto"/>
    </w:pPr>
    <w:rPr>
      <w:i/>
      <w:iCs/>
      <w:color w:val="0E2841" w:themeColor="text2"/>
      <w:sz w:val="18"/>
      <w:szCs w:val="18"/>
    </w:rPr>
  </w:style>
  <w:style w:type="paragraph" w:styleId="EndnoteText">
    <w:name w:val="endnote text"/>
    <w:basedOn w:val="Normal"/>
    <w:link w:val="EndnoteTextChar"/>
    <w:uiPriority w:val="99"/>
    <w:semiHidden/>
    <w:unhideWhenUsed/>
    <w:rsid w:val="0014594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45940"/>
    <w:rPr>
      <w:sz w:val="20"/>
      <w:szCs w:val="20"/>
    </w:rPr>
  </w:style>
  <w:style w:type="character" w:styleId="EndnoteReference">
    <w:name w:val="endnote reference"/>
    <w:basedOn w:val="DefaultParagraphFont"/>
    <w:uiPriority w:val="99"/>
    <w:semiHidden/>
    <w:unhideWhenUsed/>
    <w:rsid w:val="00145940"/>
    <w:rPr>
      <w:vertAlign w:val="superscript"/>
    </w:rPr>
  </w:style>
  <w:style w:type="table" w:styleId="TableGrid">
    <w:name w:val="Table Grid"/>
    <w:basedOn w:val="TableNormal"/>
    <w:uiPriority w:val="39"/>
    <w:rsid w:val="00145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145940"/>
    <w:pPr>
      <w:spacing w:line="240" w:lineRule="auto"/>
    </w:pPr>
    <w:rPr>
      <w:sz w:val="20"/>
      <w:szCs w:val="20"/>
    </w:rPr>
  </w:style>
  <w:style w:type="character" w:customStyle="1" w:styleId="CommentTextChar">
    <w:name w:val="Comment Text Char"/>
    <w:basedOn w:val="DefaultParagraphFont"/>
    <w:link w:val="CommentText"/>
    <w:uiPriority w:val="99"/>
    <w:rsid w:val="00145940"/>
    <w:rPr>
      <w:sz w:val="20"/>
      <w:szCs w:val="20"/>
    </w:rPr>
  </w:style>
  <w:style w:type="character" w:styleId="CommentReference">
    <w:name w:val="annotation reference"/>
    <w:basedOn w:val="DefaultParagraphFont"/>
    <w:uiPriority w:val="99"/>
    <w:semiHidden/>
    <w:unhideWhenUsed/>
    <w:rsid w:val="00145940"/>
    <w:rPr>
      <w:sz w:val="16"/>
      <w:szCs w:val="16"/>
    </w:rPr>
  </w:style>
  <w:style w:type="paragraph" w:customStyle="1" w:styleId="Default">
    <w:name w:val="Default"/>
    <w:rsid w:val="00145940"/>
    <w:pPr>
      <w:autoSpaceDE w:val="0"/>
      <w:autoSpaceDN w:val="0"/>
      <w:adjustRightInd w:val="0"/>
      <w:spacing w:after="0" w:line="240" w:lineRule="auto"/>
    </w:pPr>
    <w:rPr>
      <w:rFonts w:ascii="Arial" w:hAnsi="Arial" w:cs="Arial"/>
      <w:color w:val="000000"/>
      <w:kern w:val="0"/>
    </w:rPr>
  </w:style>
  <w:style w:type="paragraph" w:styleId="Bibliography">
    <w:name w:val="Bibliography"/>
    <w:basedOn w:val="Normal"/>
    <w:next w:val="Normal"/>
    <w:uiPriority w:val="37"/>
    <w:unhideWhenUsed/>
    <w:rsid w:val="00145940"/>
    <w:pPr>
      <w:spacing w:after="240" w:line="240" w:lineRule="auto"/>
    </w:pPr>
  </w:style>
  <w:style w:type="paragraph" w:styleId="Header">
    <w:name w:val="header"/>
    <w:basedOn w:val="Normal"/>
    <w:link w:val="HeaderChar"/>
    <w:uiPriority w:val="99"/>
    <w:unhideWhenUsed/>
    <w:rsid w:val="001459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5940"/>
  </w:style>
  <w:style w:type="paragraph" w:styleId="Footer">
    <w:name w:val="footer"/>
    <w:basedOn w:val="Normal"/>
    <w:link w:val="FooterChar"/>
    <w:uiPriority w:val="99"/>
    <w:unhideWhenUsed/>
    <w:rsid w:val="001459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5940"/>
  </w:style>
  <w:style w:type="paragraph" w:styleId="Revision">
    <w:name w:val="Revision"/>
    <w:hidden/>
    <w:uiPriority w:val="99"/>
    <w:semiHidden/>
    <w:rsid w:val="00145940"/>
    <w:pPr>
      <w:spacing w:after="0" w:line="240" w:lineRule="auto"/>
    </w:pPr>
  </w:style>
  <w:style w:type="paragraph" w:styleId="CommentSubject">
    <w:name w:val="annotation subject"/>
    <w:basedOn w:val="CommentText"/>
    <w:next w:val="CommentText"/>
    <w:link w:val="CommentSubjectChar"/>
    <w:uiPriority w:val="99"/>
    <w:semiHidden/>
    <w:unhideWhenUsed/>
    <w:rsid w:val="00145940"/>
    <w:rPr>
      <w:b/>
      <w:bCs/>
    </w:rPr>
  </w:style>
  <w:style w:type="character" w:customStyle="1" w:styleId="CommentSubjectChar">
    <w:name w:val="Comment Subject Char"/>
    <w:basedOn w:val="CommentTextChar"/>
    <w:link w:val="CommentSubject"/>
    <w:uiPriority w:val="99"/>
    <w:semiHidden/>
    <w:rsid w:val="00145940"/>
    <w:rPr>
      <w:b/>
      <w:bCs/>
      <w:sz w:val="20"/>
      <w:szCs w:val="20"/>
    </w:rPr>
  </w:style>
  <w:style w:type="character" w:styleId="Mention">
    <w:name w:val="Mention"/>
    <w:basedOn w:val="DefaultParagraphFont"/>
    <w:uiPriority w:val="99"/>
    <w:unhideWhenUsed/>
    <w:rsid w:val="00145940"/>
    <w:rPr>
      <w:color w:val="2B579A"/>
      <w:shd w:val="clear" w:color="auto" w:fill="E1DFDD"/>
    </w:rPr>
  </w:style>
  <w:style w:type="paragraph" w:styleId="NormalWeb">
    <w:name w:val="Normal (Web)"/>
    <w:basedOn w:val="Normal"/>
    <w:uiPriority w:val="99"/>
    <w:semiHidden/>
    <w:unhideWhenUsed/>
    <w:rsid w:val="00145940"/>
    <w:pPr>
      <w:spacing w:before="100" w:beforeAutospacing="1" w:after="100" w:afterAutospacing="1" w:line="240" w:lineRule="auto"/>
    </w:pPr>
    <w:rPr>
      <w:rFonts w:ascii="Aptos" w:hAnsi="Aptos" w:cs="Aptos"/>
      <w:kern w:val="0"/>
      <w14:ligatures w14:val="none"/>
    </w:rPr>
  </w:style>
  <w:style w:type="paragraph" w:customStyle="1" w:styleId="LO-normal">
    <w:name w:val="LO-normal"/>
    <w:link w:val="LO-normalChar"/>
    <w:qFormat/>
    <w:rsid w:val="00872F47"/>
    <w:pPr>
      <w:suppressAutoHyphens/>
      <w:overflowPunct w:val="0"/>
      <w:spacing w:after="0" w:line="276" w:lineRule="auto"/>
    </w:pPr>
    <w:rPr>
      <w:rFonts w:ascii="Liberation Serif" w:eastAsia="Noto Serif CJK SC" w:hAnsi="Liberation Serif" w:cs="Lohit Devanagari"/>
      <w:lang w:val="en-GB" w:eastAsia="zh-CN" w:bidi="hi-IN"/>
      <w14:ligatures w14:val="none"/>
    </w:rPr>
  </w:style>
  <w:style w:type="character" w:customStyle="1" w:styleId="LO-normalChar">
    <w:name w:val="LO-normal Char"/>
    <w:basedOn w:val="DefaultParagraphFont"/>
    <w:link w:val="LO-normal"/>
    <w:rsid w:val="00872F47"/>
    <w:rPr>
      <w:rFonts w:ascii="Liberation Serif" w:eastAsia="Noto Serif CJK SC" w:hAnsi="Liberation Serif" w:cs="Lohit Devanagari"/>
      <w:lang w:val="en-GB" w:eastAsia="zh-CN" w:bidi="hi-IN"/>
      <w14:ligatures w14:val="none"/>
    </w:rPr>
  </w:style>
  <w:style w:type="character" w:styleId="Hyperlink">
    <w:name w:val="Hyperlink"/>
    <w:basedOn w:val="DefaultParagraphFont"/>
    <w:uiPriority w:val="99"/>
    <w:unhideWhenUsed/>
    <w:rsid w:val="00872F47"/>
    <w:rPr>
      <w:color w:val="467886" w:themeColor="hyperlink"/>
      <w:u w:val="single"/>
    </w:rPr>
  </w:style>
  <w:style w:type="character" w:customStyle="1" w:styleId="cf01">
    <w:name w:val="cf01"/>
    <w:basedOn w:val="DefaultParagraphFont"/>
    <w:rsid w:val="00872F47"/>
    <w:rPr>
      <w:rFonts w:ascii="Segoe UI" w:hAnsi="Segoe UI" w:cs="Segoe UI" w:hint="default"/>
      <w:sz w:val="18"/>
      <w:szCs w:val="18"/>
    </w:rPr>
  </w:style>
  <w:style w:type="paragraph" w:styleId="BodyText">
    <w:name w:val="Body Text"/>
    <w:basedOn w:val="Normal"/>
    <w:link w:val="BodyTextChar"/>
    <w:rsid w:val="00C6494E"/>
    <w:pPr>
      <w:suppressAutoHyphens/>
      <w:overflowPunct w:val="0"/>
      <w:spacing w:after="140" w:line="276" w:lineRule="auto"/>
    </w:pPr>
    <w:rPr>
      <w:rFonts w:ascii="Liberation Serif" w:eastAsia="Noto Serif CJK SC" w:hAnsi="Liberation Serif" w:cs="Lohit Devanagari"/>
      <w:lang w:val="en-GB" w:eastAsia="zh-CN" w:bidi="hi-IN"/>
      <w14:ligatures w14:val="none"/>
    </w:rPr>
  </w:style>
  <w:style w:type="character" w:customStyle="1" w:styleId="BodyTextChar">
    <w:name w:val="Body Text Char"/>
    <w:basedOn w:val="DefaultParagraphFont"/>
    <w:link w:val="BodyText"/>
    <w:rsid w:val="00C6494E"/>
    <w:rPr>
      <w:rFonts w:ascii="Liberation Serif" w:eastAsia="Noto Serif CJK SC" w:hAnsi="Liberation Serif" w:cs="Lohit Devanagari"/>
      <w:lang w:val="en-GB" w:eastAsia="zh-CN" w:bidi="hi-IN"/>
      <w14:ligatures w14:val="none"/>
    </w:rPr>
  </w:style>
  <w:style w:type="character" w:styleId="LineNumber">
    <w:name w:val="line number"/>
    <w:basedOn w:val="DefaultParagraphFont"/>
    <w:uiPriority w:val="99"/>
    <w:semiHidden/>
    <w:unhideWhenUsed/>
    <w:rsid w:val="006624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0712367">
      <w:bodyDiv w:val="1"/>
      <w:marLeft w:val="0"/>
      <w:marRight w:val="0"/>
      <w:marTop w:val="0"/>
      <w:marBottom w:val="0"/>
      <w:divBdr>
        <w:top w:val="none" w:sz="0" w:space="0" w:color="auto"/>
        <w:left w:val="none" w:sz="0" w:space="0" w:color="auto"/>
        <w:bottom w:val="none" w:sz="0" w:space="0" w:color="auto"/>
        <w:right w:val="none" w:sz="0" w:space="0" w:color="auto"/>
      </w:divBdr>
    </w:div>
    <w:div w:id="1071926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annah.clapham@nus.edu.s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99479-1279-414E-BAC2-8BBD6260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1838</TotalTime>
  <Pages>15</Pages>
  <Words>8611</Words>
  <Characters>49087</Characters>
  <Application>Microsoft Office Word</Application>
  <DocSecurity>0</DocSecurity>
  <Lines>409</Lines>
  <Paragraphs>115</Paragraphs>
  <ScaleCrop>false</ScaleCrop>
  <Company/>
  <LinksUpToDate>false</LinksUpToDate>
  <CharactersWithSpaces>57583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Senapati</dc:creator>
  <cp:keywords/>
  <dc:description/>
  <cp:lastModifiedBy>Abhishek Senapati</cp:lastModifiedBy>
  <cp:revision>221</cp:revision>
  <dcterms:created xsi:type="dcterms:W3CDTF">2024-07-19T08:21:00Z</dcterms:created>
  <dcterms:modified xsi:type="dcterms:W3CDTF">2024-09-11T04:08:00Z</dcterms:modified>
</cp:coreProperties>
</file>