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AD8783C" w14:textId="604CD53F" w:rsidR="00877EA1" w:rsidRDefault="002333EB">
      <w:pPr>
        <w:rPr>
          <w:b/>
          <w:bCs/>
        </w:rPr>
      </w:pPr>
      <w:r w:rsidRPr="00CC06FB">
        <w:rPr>
          <w:b/>
          <w:bCs/>
        </w:rPr>
        <w:t>Notes of efficacy calculation on modelling</w:t>
      </w:r>
      <w:r w:rsidR="00CC06FB">
        <w:rPr>
          <w:b/>
          <w:bCs/>
        </w:rPr>
        <w:t>:</w:t>
      </w:r>
    </w:p>
    <w:p w14:paraId="05C2C2DA" w14:textId="77777777" w:rsidR="00CC06FB" w:rsidRDefault="00CC06FB">
      <w:pPr>
        <w:rPr>
          <w:b/>
          <w:bCs/>
        </w:rPr>
      </w:pPr>
    </w:p>
    <w:p w14:paraId="5C763AFE" w14:textId="78FBC064" w:rsidR="00CC06FB" w:rsidRDefault="00CC06FB">
      <w:pPr>
        <w:rPr>
          <w:b/>
          <w:bCs/>
        </w:rPr>
      </w:pPr>
      <w:r>
        <w:rPr>
          <w:b/>
          <w:bCs/>
        </w:rPr>
        <w:t>How did I calculate the efficacy over time?</w:t>
      </w:r>
    </w:p>
    <w:p w14:paraId="1E8F278B" w14:textId="681DFCEB" w:rsidR="00BE3DFC" w:rsidRDefault="00BE3DFC">
      <w:r w:rsidRPr="00BF55DA">
        <w:t>I</w:t>
      </w:r>
      <w:r>
        <w:t xml:space="preserve"> have used the used the trial data from the following 5 </w:t>
      </w:r>
      <w:r w:rsidR="00E96E21">
        <w:t>studies:</w:t>
      </w:r>
    </w:p>
    <w:tbl>
      <w:tblPr>
        <w:tblStyle w:val="TableGrid"/>
        <w:tblW w:w="9615" w:type="dxa"/>
        <w:tblLook w:val="04A0" w:firstRow="1" w:lastRow="0" w:firstColumn="1" w:lastColumn="0" w:noHBand="0" w:noVBand="1"/>
      </w:tblPr>
      <w:tblGrid>
        <w:gridCol w:w="3204"/>
        <w:gridCol w:w="3204"/>
        <w:gridCol w:w="3207"/>
      </w:tblGrid>
      <w:tr w:rsidR="0054765B" w14:paraId="6BDAD5F2" w14:textId="77777777" w:rsidTr="0054765B">
        <w:trPr>
          <w:trHeight w:val="321"/>
        </w:trPr>
        <w:tc>
          <w:tcPr>
            <w:tcW w:w="3204" w:type="dxa"/>
          </w:tcPr>
          <w:p w14:paraId="473F92C2" w14:textId="5BACE4F0" w:rsidR="0054765B" w:rsidRDefault="0054765B" w:rsidP="00074E00">
            <w:r>
              <w:t>Source</w:t>
            </w:r>
          </w:p>
        </w:tc>
        <w:tc>
          <w:tcPr>
            <w:tcW w:w="3204" w:type="dxa"/>
          </w:tcPr>
          <w:p w14:paraId="6CEE091F" w14:textId="5250E646" w:rsidR="0054765B" w:rsidRDefault="0054765B" w:rsidP="00074E00">
            <w:r>
              <w:t>Timeline</w:t>
            </w:r>
          </w:p>
        </w:tc>
        <w:tc>
          <w:tcPr>
            <w:tcW w:w="3207" w:type="dxa"/>
          </w:tcPr>
          <w:p w14:paraId="02E0D2A4" w14:textId="051984B9" w:rsidR="0054765B" w:rsidRDefault="0054765B" w:rsidP="00074E00">
            <w:r>
              <w:t>Remark</w:t>
            </w:r>
          </w:p>
        </w:tc>
      </w:tr>
      <w:tr w:rsidR="0054765B" w14:paraId="2E4A0235" w14:textId="77777777" w:rsidTr="0054765B">
        <w:trPr>
          <w:trHeight w:val="660"/>
        </w:trPr>
        <w:tc>
          <w:tcPr>
            <w:tcW w:w="3204" w:type="dxa"/>
          </w:tcPr>
          <w:p w14:paraId="454EA854" w14:textId="26CE7489" w:rsidR="0054765B" w:rsidRDefault="0054765B" w:rsidP="00074E00">
            <w:r>
              <w:t>Biswal et al., NEJM, 2019</w:t>
            </w:r>
          </w:p>
        </w:tc>
        <w:tc>
          <w:tcPr>
            <w:tcW w:w="3204" w:type="dxa"/>
          </w:tcPr>
          <w:p w14:paraId="759C8025" w14:textId="6A9BA330" w:rsidR="0054765B" w:rsidRDefault="0054765B" w:rsidP="00074E00">
            <w:r>
              <w:t>For 1-12 months</w:t>
            </w:r>
          </w:p>
        </w:tc>
        <w:tc>
          <w:tcPr>
            <w:tcW w:w="3207" w:type="dxa"/>
          </w:tcPr>
          <w:p w14:paraId="0FECFF49" w14:textId="0B7E3D2A" w:rsidR="0054765B" w:rsidRDefault="0054765B" w:rsidP="00074E00">
            <w:r>
              <w:t>Calculated VE for 1-12 months</w:t>
            </w:r>
          </w:p>
        </w:tc>
      </w:tr>
      <w:tr w:rsidR="0054765B" w14:paraId="23892467" w14:textId="77777777" w:rsidTr="0054765B">
        <w:trPr>
          <w:trHeight w:val="660"/>
        </w:trPr>
        <w:tc>
          <w:tcPr>
            <w:tcW w:w="3204" w:type="dxa"/>
          </w:tcPr>
          <w:p w14:paraId="68438025" w14:textId="5DA57A2B" w:rsidR="0054765B" w:rsidRDefault="0054765B" w:rsidP="00074E00">
            <w:r>
              <w:t>Biswal et al., Lancet, 2020</w:t>
            </w:r>
          </w:p>
        </w:tc>
        <w:tc>
          <w:tcPr>
            <w:tcW w:w="3204" w:type="dxa"/>
          </w:tcPr>
          <w:p w14:paraId="009803EE" w14:textId="2989089F" w:rsidR="0054765B" w:rsidRDefault="0054765B" w:rsidP="00074E00">
            <w:r>
              <w:t>Up to 18 months post vaccination</w:t>
            </w:r>
          </w:p>
        </w:tc>
        <w:tc>
          <w:tcPr>
            <w:tcW w:w="3207" w:type="dxa"/>
          </w:tcPr>
          <w:p w14:paraId="62DB77EF" w14:textId="2453F8B9" w:rsidR="0054765B" w:rsidRDefault="0054765B" w:rsidP="00074E00">
            <w:r>
              <w:t>Calculated VE for 13-18 Months</w:t>
            </w:r>
          </w:p>
        </w:tc>
      </w:tr>
      <w:tr w:rsidR="0054765B" w14:paraId="1697D6B5" w14:textId="77777777" w:rsidTr="0054765B">
        <w:trPr>
          <w:trHeight w:val="644"/>
        </w:trPr>
        <w:tc>
          <w:tcPr>
            <w:tcW w:w="3204" w:type="dxa"/>
          </w:tcPr>
          <w:p w14:paraId="5F46589C" w14:textId="1E0053AD" w:rsidR="0054765B" w:rsidRDefault="0054765B" w:rsidP="00074E00">
            <w:proofErr w:type="gramStart"/>
            <w:r>
              <w:t>Lopez-Medina</w:t>
            </w:r>
            <w:proofErr w:type="gramEnd"/>
            <w:r>
              <w:t xml:space="preserve"> et al., J. Inf. Dis., 2020</w:t>
            </w:r>
          </w:p>
        </w:tc>
        <w:tc>
          <w:tcPr>
            <w:tcW w:w="3204" w:type="dxa"/>
          </w:tcPr>
          <w:p w14:paraId="28C246AB" w14:textId="70B4AA27" w:rsidR="0054765B" w:rsidRDefault="0054765B" w:rsidP="00074E00">
            <w:r>
              <w:t>Up to 24 months post vaccination</w:t>
            </w:r>
          </w:p>
        </w:tc>
        <w:tc>
          <w:tcPr>
            <w:tcW w:w="3207" w:type="dxa"/>
          </w:tcPr>
          <w:p w14:paraId="401DDA79" w14:textId="3F97C157" w:rsidR="0054765B" w:rsidRDefault="0054765B" w:rsidP="00074E00">
            <w:r>
              <w:t>Calculated VE for 19-24 months</w:t>
            </w:r>
          </w:p>
        </w:tc>
      </w:tr>
      <w:tr w:rsidR="0054765B" w14:paraId="70F3886D" w14:textId="77777777" w:rsidTr="0054765B">
        <w:trPr>
          <w:trHeight w:val="660"/>
        </w:trPr>
        <w:tc>
          <w:tcPr>
            <w:tcW w:w="3204" w:type="dxa"/>
          </w:tcPr>
          <w:p w14:paraId="5A148EE8" w14:textId="354FAB24" w:rsidR="0054765B" w:rsidRDefault="0054765B" w:rsidP="00074E00">
            <w:r>
              <w:t>Rivera et al., Clin. Inf. Dis., 2022</w:t>
            </w:r>
          </w:p>
        </w:tc>
        <w:tc>
          <w:tcPr>
            <w:tcW w:w="3204" w:type="dxa"/>
          </w:tcPr>
          <w:p w14:paraId="61BB3A1D" w14:textId="64B08BB5" w:rsidR="0054765B" w:rsidRDefault="0054765B" w:rsidP="00074E00">
            <w:r>
              <w:t>For 25-36 months</w:t>
            </w:r>
          </w:p>
        </w:tc>
        <w:tc>
          <w:tcPr>
            <w:tcW w:w="3207" w:type="dxa"/>
          </w:tcPr>
          <w:p w14:paraId="66B15096" w14:textId="2A2DB7D3" w:rsidR="0054765B" w:rsidRDefault="0054765B" w:rsidP="00074E00">
            <w:r>
              <w:t>Calculated VE for 25-36 months</w:t>
            </w:r>
          </w:p>
        </w:tc>
      </w:tr>
      <w:tr w:rsidR="0054765B" w14:paraId="2D26B038" w14:textId="77777777" w:rsidTr="0054765B">
        <w:trPr>
          <w:trHeight w:val="983"/>
        </w:trPr>
        <w:tc>
          <w:tcPr>
            <w:tcW w:w="3204" w:type="dxa"/>
          </w:tcPr>
          <w:p w14:paraId="6E06E00C" w14:textId="4FBF331E" w:rsidR="0054765B" w:rsidRDefault="0054765B" w:rsidP="00074E00">
            <w:proofErr w:type="spellStart"/>
            <w:r>
              <w:t>Tricou</w:t>
            </w:r>
            <w:proofErr w:type="spellEnd"/>
            <w:r>
              <w:t xml:space="preserve"> et al., Lancet, 2024</w:t>
            </w:r>
          </w:p>
        </w:tc>
        <w:tc>
          <w:tcPr>
            <w:tcW w:w="3204" w:type="dxa"/>
          </w:tcPr>
          <w:p w14:paraId="18CE170F" w14:textId="03B29BAF" w:rsidR="0054765B" w:rsidRDefault="0054765B" w:rsidP="00074E00">
            <w:r>
              <w:t>For 37-48 months and 37-54 months</w:t>
            </w:r>
          </w:p>
        </w:tc>
        <w:tc>
          <w:tcPr>
            <w:tcW w:w="3207" w:type="dxa"/>
          </w:tcPr>
          <w:p w14:paraId="3557671A" w14:textId="6212D7A8" w:rsidR="0054765B" w:rsidRDefault="0054765B" w:rsidP="00074E00">
            <w:r>
              <w:t>Calculated VE for 37-48 months and for 49-54 months</w:t>
            </w:r>
          </w:p>
        </w:tc>
      </w:tr>
    </w:tbl>
    <w:p w14:paraId="685F0F92" w14:textId="0369A1D9" w:rsidR="00E96E21" w:rsidRPr="00BE3DFC" w:rsidRDefault="00E96E21" w:rsidP="00074E00"/>
    <w:p w14:paraId="348B1142" w14:textId="456196E4" w:rsidR="00CC06FB" w:rsidRPr="0058383E" w:rsidRDefault="00064E6B">
      <w:r>
        <w:t xml:space="preserve">Note that </w:t>
      </w:r>
      <w:r w:rsidR="00A02EC9">
        <w:t>these stud</w:t>
      </w:r>
      <w:r w:rsidR="00D06E81">
        <w:t>ies</w:t>
      </w:r>
      <w:r>
        <w:t xml:space="preserve"> reported </w:t>
      </w:r>
      <w:r w:rsidR="003F06EB">
        <w:t xml:space="preserve">VE estimates </w:t>
      </w:r>
      <w:r w:rsidR="00EA60DA">
        <w:t>mainly</w:t>
      </w:r>
      <w:r w:rsidR="003F06EB">
        <w:t xml:space="preserve"> for</w:t>
      </w:r>
      <w:r w:rsidR="00EA60DA">
        <w:t xml:space="preserve"> (</w:t>
      </w:r>
      <w:proofErr w:type="spellStart"/>
      <w:r w:rsidR="00EA60DA">
        <w:t>i</w:t>
      </w:r>
      <w:proofErr w:type="spellEnd"/>
      <w:r w:rsidR="00EA60DA">
        <w:t>)</w:t>
      </w:r>
      <w:r w:rsidR="003F06EB">
        <w:t xml:space="preserve"> </w:t>
      </w:r>
      <w:r w:rsidR="003F06EB" w:rsidRPr="00A02EC9">
        <w:rPr>
          <w:b/>
          <w:bCs/>
        </w:rPr>
        <w:t xml:space="preserve">Safety set </w:t>
      </w:r>
      <w:r w:rsidR="00A02EC9" w:rsidRPr="00A02EC9">
        <w:rPr>
          <w:b/>
          <w:bCs/>
        </w:rPr>
        <w:t>population</w:t>
      </w:r>
      <w:r w:rsidR="003F06EB">
        <w:t xml:space="preserve">, </w:t>
      </w:r>
      <w:r w:rsidR="00EA60DA">
        <w:t xml:space="preserve">and (ii) </w:t>
      </w:r>
      <w:r w:rsidR="00EA60DA" w:rsidRPr="00A02EC9">
        <w:rPr>
          <w:b/>
          <w:bCs/>
        </w:rPr>
        <w:t>Per</w:t>
      </w:r>
      <w:r w:rsidR="00A02EC9" w:rsidRPr="00A02EC9">
        <w:rPr>
          <w:b/>
          <w:bCs/>
        </w:rPr>
        <w:t>-protocol population</w:t>
      </w:r>
      <w:r w:rsidR="00A02EC9">
        <w:rPr>
          <w:b/>
          <w:bCs/>
        </w:rPr>
        <w:t xml:space="preserve">. </w:t>
      </w:r>
      <w:r w:rsidR="00C51C40">
        <w:t>Also,</w:t>
      </w:r>
      <w:r w:rsidR="0058383E">
        <w:t xml:space="preserve"> the </w:t>
      </w:r>
      <w:r w:rsidR="00AB1C6B">
        <w:t xml:space="preserve">formula for calculating VE </w:t>
      </w:r>
      <w:r w:rsidR="00406D03">
        <w:t>is</w:t>
      </w:r>
      <w:r w:rsidR="00AB1C6B">
        <w:t xml:space="preserve"> not uniform</w:t>
      </w:r>
      <w:r w:rsidR="00C51C40">
        <w:t xml:space="preserve"> in </w:t>
      </w:r>
      <w:proofErr w:type="gramStart"/>
      <w:r w:rsidR="00C51C40">
        <w:t>these study</w:t>
      </w:r>
      <w:proofErr w:type="gramEnd"/>
      <w:r w:rsidR="00C51C40">
        <w:t xml:space="preserve">. For example, in Biswal et al., NEJM, 2019, they used </w:t>
      </w:r>
      <w:r w:rsidR="00BE0FE8">
        <w:t xml:space="preserve">the formula, VE = 1- Relative risk, whereas in the subsequent they did not use the formula, instead </w:t>
      </w:r>
      <w:r w:rsidR="005E2AAB">
        <w:t xml:space="preserve">it seems (Not clearly mentioned in the </w:t>
      </w:r>
      <w:r w:rsidR="005E5E5B">
        <w:t>studies though!</w:t>
      </w:r>
      <w:r w:rsidR="005E2AAB">
        <w:t>)</w:t>
      </w:r>
      <w:r w:rsidR="005E5E5B">
        <w:t xml:space="preserve"> </w:t>
      </w:r>
      <w:r w:rsidR="00BE0FE8">
        <w:t xml:space="preserve">they </w:t>
      </w:r>
      <w:r w:rsidR="005E2AAB">
        <w:t xml:space="preserve">modified the formula </w:t>
      </w:r>
      <w:r w:rsidR="00BE0FE8">
        <w:t>incorpor</w:t>
      </w:r>
      <w:r w:rsidR="005E2AAB">
        <w:t>ating</w:t>
      </w:r>
      <w:r w:rsidR="00BE0FE8">
        <w:t xml:space="preserve"> </w:t>
      </w:r>
      <w:r w:rsidR="00001920" w:rsidRPr="005E5E5B">
        <w:rPr>
          <w:b/>
          <w:bCs/>
        </w:rPr>
        <w:t>“Person</w:t>
      </w:r>
      <w:r w:rsidR="005E2AAB" w:rsidRPr="005E5E5B">
        <w:rPr>
          <w:b/>
          <w:bCs/>
        </w:rPr>
        <w:t>-year at risk</w:t>
      </w:r>
      <w:r w:rsidR="00001920" w:rsidRPr="005E5E5B">
        <w:rPr>
          <w:b/>
          <w:bCs/>
        </w:rPr>
        <w:t>”</w:t>
      </w:r>
      <w:r w:rsidR="00D1007F">
        <w:t>, etc.</w:t>
      </w:r>
    </w:p>
    <w:p w14:paraId="46F3E153" w14:textId="5E69D10C" w:rsidR="00A02EC9" w:rsidRDefault="00A02EC9">
      <w:r>
        <w:t xml:space="preserve">Since </w:t>
      </w:r>
      <w:r w:rsidR="00DF1FC7">
        <w:t xml:space="preserve">per-protocol are those who completed the </w:t>
      </w:r>
      <w:r w:rsidR="00040697">
        <w:t xml:space="preserve">trial, I only focused on this population. I mainly </w:t>
      </w:r>
      <w:r w:rsidR="0058383E">
        <w:t>collated four</w:t>
      </w:r>
      <w:r w:rsidR="00AC0378">
        <w:t xml:space="preserve"> quanti</w:t>
      </w:r>
      <w:r w:rsidR="00D955F4">
        <w:t>ties:</w:t>
      </w:r>
    </w:p>
    <w:p w14:paraId="4F0D536D" w14:textId="5056F7B9" w:rsidR="00D955F4" w:rsidRDefault="00D955F4" w:rsidP="00D955F4">
      <w:pPr>
        <w:pStyle w:val="ListParagraph"/>
        <w:numPr>
          <w:ilvl w:val="0"/>
          <w:numId w:val="2"/>
        </w:numPr>
      </w:pPr>
      <w:r>
        <w:t>Cases in TAK-</w:t>
      </w:r>
      <w:r w:rsidR="00D233CB">
        <w:t xml:space="preserve">003 </w:t>
      </w:r>
    </w:p>
    <w:p w14:paraId="125A7BDA" w14:textId="2E59B5C3" w:rsidR="00D233CB" w:rsidRDefault="00D233CB" w:rsidP="00D955F4">
      <w:pPr>
        <w:pStyle w:val="ListParagraph"/>
        <w:numPr>
          <w:ilvl w:val="0"/>
          <w:numId w:val="2"/>
        </w:numPr>
      </w:pPr>
      <w:r>
        <w:t>Participants in TAK-003</w:t>
      </w:r>
    </w:p>
    <w:p w14:paraId="61345701" w14:textId="0C0EAF51" w:rsidR="00D233CB" w:rsidRDefault="00D233CB" w:rsidP="00D955F4">
      <w:pPr>
        <w:pStyle w:val="ListParagraph"/>
        <w:numPr>
          <w:ilvl w:val="0"/>
          <w:numId w:val="2"/>
        </w:numPr>
      </w:pPr>
      <w:r>
        <w:t>Cases in Placebo</w:t>
      </w:r>
    </w:p>
    <w:p w14:paraId="6307C632" w14:textId="2C1972F8" w:rsidR="00F91452" w:rsidRDefault="00D233CB" w:rsidP="00F91452">
      <w:pPr>
        <w:pStyle w:val="ListParagraph"/>
        <w:numPr>
          <w:ilvl w:val="0"/>
          <w:numId w:val="2"/>
        </w:numPr>
      </w:pPr>
      <w:r>
        <w:t>Participants in Placebo</w:t>
      </w:r>
    </w:p>
    <w:p w14:paraId="5C9F61C6" w14:textId="3F2AC6A5" w:rsidR="00F91452" w:rsidRDefault="00F91452" w:rsidP="00F91452">
      <w:pPr>
        <w:pStyle w:val="ListParagraph"/>
        <w:ind w:left="0"/>
      </w:pPr>
      <w:r>
        <w:t xml:space="preserve">Note that the </w:t>
      </w:r>
      <w:r w:rsidR="00F43BC9">
        <w:t xml:space="preserve">participants both in TAK-003, and Placebo </w:t>
      </w:r>
      <w:r w:rsidR="00D16542">
        <w:t xml:space="preserve">did not remain exactly same over the time, but the differences are </w:t>
      </w:r>
      <w:r w:rsidR="00FC286C">
        <w:t>very little.</w:t>
      </w:r>
    </w:p>
    <w:p w14:paraId="7443D1DB" w14:textId="77777777" w:rsidR="00FC286C" w:rsidRDefault="00FC286C" w:rsidP="00F91452">
      <w:pPr>
        <w:pStyle w:val="ListParagraph"/>
        <w:ind w:left="0"/>
      </w:pPr>
    </w:p>
    <w:p w14:paraId="128A6E77" w14:textId="18D07386" w:rsidR="00D257F0" w:rsidRDefault="00FC286C" w:rsidP="00F91452">
      <w:pPr>
        <w:pStyle w:val="ListParagraph"/>
        <w:ind w:left="0"/>
      </w:pPr>
      <w:r>
        <w:t>After gathering, these four quanti</w:t>
      </w:r>
      <w:r w:rsidR="00D257F0">
        <w:t>ties, I have calculated VE just using the simple formula</w:t>
      </w:r>
      <w:r w:rsidR="00406D03">
        <w:t xml:space="preserve"> at these 6 time points</w:t>
      </w:r>
      <w:r w:rsidR="00D257F0">
        <w:t>,</w:t>
      </w:r>
    </w:p>
    <w:p w14:paraId="2F3F85E0" w14:textId="6ACDD0E7" w:rsidR="00D257F0" w:rsidRPr="00617633" w:rsidRDefault="00D257F0" w:rsidP="00F91452">
      <w:pPr>
        <w:pStyle w:val="ListParagraph"/>
        <w:ind w:left="0"/>
        <w:rPr>
          <w:b/>
          <w:bCs/>
        </w:rPr>
      </w:pPr>
      <w:r w:rsidRPr="00617633">
        <w:rPr>
          <w:b/>
          <w:bCs/>
        </w:rPr>
        <w:t xml:space="preserve">VE = </w:t>
      </w:r>
      <w:r w:rsidR="00FC77F7">
        <w:rPr>
          <w:b/>
          <w:bCs/>
        </w:rPr>
        <w:t>100*(</w:t>
      </w:r>
      <w:r w:rsidRPr="00617633">
        <w:rPr>
          <w:b/>
          <w:bCs/>
        </w:rPr>
        <w:t>1 – Relative Risk (RR)</w:t>
      </w:r>
      <w:r w:rsidR="00FC77F7">
        <w:rPr>
          <w:b/>
          <w:bCs/>
        </w:rPr>
        <w:t>)</w:t>
      </w:r>
      <w:r w:rsidRPr="00617633">
        <w:rPr>
          <w:b/>
          <w:bCs/>
        </w:rPr>
        <w:t>,</w:t>
      </w:r>
    </w:p>
    <w:p w14:paraId="3587AA7A" w14:textId="061D8516" w:rsidR="00D257F0" w:rsidRDefault="00D257F0" w:rsidP="00F91452">
      <w:pPr>
        <w:pStyle w:val="ListParagraph"/>
        <w:ind w:left="0"/>
      </w:pPr>
      <w:r>
        <w:lastRenderedPageBreak/>
        <w:t xml:space="preserve">Where RR is defined as </w:t>
      </w:r>
      <w:r w:rsidR="00FC77F7">
        <w:t>the</w:t>
      </w:r>
      <w:r w:rsidR="00617633">
        <w:t xml:space="preserve"> </w:t>
      </w:r>
      <w:r w:rsidR="00D16855">
        <w:t>ratio of attack rate in TAK-003 group and Placebo group.</w:t>
      </w:r>
    </w:p>
    <w:p w14:paraId="05D0E62D" w14:textId="59D74855" w:rsidR="00DF71C0" w:rsidRDefault="00A64EDA" w:rsidP="00F91452">
      <w:pPr>
        <w:pStyle w:val="ListParagraph"/>
        <w:ind w:left="0"/>
      </w:pPr>
      <w:r>
        <w:t xml:space="preserve">So, </w:t>
      </w:r>
      <w:r w:rsidR="00FF50FD">
        <w:t>this calculation of VE</w:t>
      </w:r>
      <w:r>
        <w:t xml:space="preserve"> might not </w:t>
      </w:r>
      <w:r w:rsidR="00ED5E32">
        <w:t xml:space="preserve">match with estimates provided in these studies as they </w:t>
      </w:r>
      <w:r w:rsidR="000D2204">
        <w:t>used different formulae.</w:t>
      </w:r>
    </w:p>
    <w:p w14:paraId="22636610" w14:textId="6A248410" w:rsidR="00FC77F7" w:rsidRDefault="00BD6820" w:rsidP="00D6242F">
      <w:pPr>
        <w:pStyle w:val="ListParagraph"/>
        <w:ind w:left="0"/>
        <w:jc w:val="center"/>
      </w:pPr>
      <w:r>
        <w:rPr>
          <w:rFonts w:ascii="Arial" w:eastAsiaTheme="minorEastAsia" w:hAnsi="Arial" w:cs="Arial"/>
          <w:b/>
          <w:bCs/>
          <w:noProof/>
        </w:rPr>
        <w:drawing>
          <wp:inline distT="0" distB="0" distL="0" distR="0" wp14:anchorId="15EB3B99" wp14:editId="2EE9A461">
            <wp:extent cx="6216828" cy="3836670"/>
            <wp:effectExtent l="0" t="0" r="0" b="0"/>
            <wp:docPr id="1795294123" name="Picture 9" descr="A graph of a number of peopl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5294123" name="Picture 9" descr="A graph of a number of people&#10;&#10;Description automatically generated with medium confidence"/>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6235925" cy="3848455"/>
                    </a:xfrm>
                    <a:prstGeom prst="rect">
                      <a:avLst/>
                    </a:prstGeom>
                    <a:noFill/>
                  </pic:spPr>
                </pic:pic>
              </a:graphicData>
            </a:graphic>
          </wp:inline>
        </w:drawing>
      </w:r>
    </w:p>
    <w:p w14:paraId="6CD970C9" w14:textId="6CC8B213" w:rsidR="00D6242F" w:rsidRDefault="00D6242F" w:rsidP="00D6242F">
      <w:pPr>
        <w:pStyle w:val="ListParagraph"/>
        <w:ind w:left="0"/>
        <w:jc w:val="center"/>
      </w:pPr>
      <w:r>
        <w:rPr>
          <w:rFonts w:ascii="Arial" w:eastAsiaTheme="minorEastAsia" w:hAnsi="Arial" w:cs="Arial"/>
          <w:b/>
          <w:bCs/>
          <w:noProof/>
        </w:rPr>
        <w:drawing>
          <wp:inline distT="0" distB="0" distL="0" distR="0" wp14:anchorId="6A6461D6" wp14:editId="6C86798D">
            <wp:extent cx="5734050" cy="3538727"/>
            <wp:effectExtent l="0" t="0" r="0" b="5080"/>
            <wp:docPr id="1906625683" name="Picture 11" descr="A graph of a graph of a number of data&#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6625683" name="Picture 11" descr="A graph of a graph of a number of data&#10;&#10;Description automatically generated with medium confidence"/>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40451" cy="3542678"/>
                    </a:xfrm>
                    <a:prstGeom prst="rect">
                      <a:avLst/>
                    </a:prstGeom>
                    <a:noFill/>
                  </pic:spPr>
                </pic:pic>
              </a:graphicData>
            </a:graphic>
          </wp:inline>
        </w:drawing>
      </w:r>
    </w:p>
    <w:p w14:paraId="7ABACF7E" w14:textId="3A196EBC" w:rsidR="00D6242F" w:rsidRDefault="000D2204" w:rsidP="000D2204">
      <w:pPr>
        <w:pStyle w:val="ListParagraph"/>
        <w:ind w:left="0"/>
      </w:pPr>
      <w:r>
        <w:lastRenderedPageBreak/>
        <w:t>Note that</w:t>
      </w:r>
      <w:r w:rsidR="00841EAC">
        <w:t xml:space="preserve"> serotype-stratified VE, mainly for Hospitalized </w:t>
      </w:r>
      <w:r w:rsidR="00160FAD">
        <w:t>are not availabl</w:t>
      </w:r>
      <w:r w:rsidR="00A1265D">
        <w:t>e</w:t>
      </w:r>
      <w:r w:rsidR="00CA1AE4">
        <w:t>.</w:t>
      </w:r>
    </w:p>
    <w:p w14:paraId="1EEA6241" w14:textId="75EBD27A" w:rsidR="00FF50FD" w:rsidRDefault="00FF50FD" w:rsidP="000D2204">
      <w:pPr>
        <w:pStyle w:val="ListParagraph"/>
        <w:ind w:left="0"/>
      </w:pPr>
      <w:r>
        <w:t>The figure below shows the number of cases</w:t>
      </w:r>
      <w:r w:rsidR="005D4A9D">
        <w:t xml:space="preserve"> over time</w:t>
      </w:r>
      <w:r>
        <w:t xml:space="preserve"> in </w:t>
      </w:r>
      <w:r w:rsidR="00ED1D5D">
        <w:t xml:space="preserve">both </w:t>
      </w:r>
      <w:r w:rsidR="005D4A9D">
        <w:t>Vaccine and Placebo groups.</w:t>
      </w:r>
    </w:p>
    <w:p w14:paraId="72EA1EE0" w14:textId="38AE6A82" w:rsidR="00FF50FD" w:rsidRDefault="00FF50FD" w:rsidP="000D2204">
      <w:pPr>
        <w:pStyle w:val="ListParagraph"/>
        <w:ind w:left="0"/>
      </w:pPr>
      <w:r>
        <w:rPr>
          <w:noProof/>
        </w:rPr>
        <w:drawing>
          <wp:inline distT="0" distB="0" distL="0" distR="0" wp14:anchorId="3F880933" wp14:editId="5C5370CE">
            <wp:extent cx="5756892" cy="3552825"/>
            <wp:effectExtent l="0" t="0" r="0" b="0"/>
            <wp:docPr id="182751029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62584" cy="3556338"/>
                    </a:xfrm>
                    <a:prstGeom prst="rect">
                      <a:avLst/>
                    </a:prstGeom>
                    <a:noFill/>
                  </pic:spPr>
                </pic:pic>
              </a:graphicData>
            </a:graphic>
          </wp:inline>
        </w:drawing>
      </w:r>
    </w:p>
    <w:p w14:paraId="74F90E9D" w14:textId="459AA4BF" w:rsidR="005D4A9D" w:rsidRDefault="00D55702" w:rsidP="005D4A9D">
      <w:pPr>
        <w:pStyle w:val="ListParagraph"/>
        <w:ind w:left="0"/>
        <w:jc w:val="center"/>
      </w:pPr>
      <w:r>
        <w:rPr>
          <w:noProof/>
        </w:rPr>
        <w:drawing>
          <wp:inline distT="0" distB="0" distL="0" distR="0" wp14:anchorId="11DA220F" wp14:editId="67875674">
            <wp:extent cx="6050139" cy="3733800"/>
            <wp:effectExtent l="0" t="0" r="8255" b="0"/>
            <wp:docPr id="20871267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054062" cy="3736221"/>
                    </a:xfrm>
                    <a:prstGeom prst="rect">
                      <a:avLst/>
                    </a:prstGeom>
                    <a:noFill/>
                  </pic:spPr>
                </pic:pic>
              </a:graphicData>
            </a:graphic>
          </wp:inline>
        </w:drawing>
      </w:r>
    </w:p>
    <w:p w14:paraId="02812521" w14:textId="77777777" w:rsidR="00CA1AE4" w:rsidRDefault="00CA1AE4" w:rsidP="000D2204">
      <w:pPr>
        <w:pStyle w:val="ListParagraph"/>
        <w:ind w:left="0"/>
      </w:pPr>
    </w:p>
    <w:p w14:paraId="52F4DE39" w14:textId="77777777" w:rsidR="00D55702" w:rsidRDefault="00D55702" w:rsidP="000D2204">
      <w:pPr>
        <w:pStyle w:val="ListParagraph"/>
        <w:ind w:left="0"/>
        <w:rPr>
          <w:b/>
          <w:bCs/>
        </w:rPr>
      </w:pPr>
    </w:p>
    <w:p w14:paraId="78BFB048" w14:textId="4E0C8FC9" w:rsidR="00CA1AE4" w:rsidRDefault="00CA1AE4" w:rsidP="000D2204">
      <w:pPr>
        <w:pStyle w:val="ListParagraph"/>
        <w:ind w:left="0"/>
        <w:rPr>
          <w:b/>
          <w:bCs/>
        </w:rPr>
      </w:pPr>
      <w:r w:rsidRPr="00F44DAF">
        <w:rPr>
          <w:b/>
          <w:bCs/>
        </w:rPr>
        <w:lastRenderedPageBreak/>
        <w:t>Which VE estimates have been used so far in the</w:t>
      </w:r>
      <w:r w:rsidR="00F44DAF" w:rsidRPr="00F44DAF">
        <w:rPr>
          <w:b/>
          <w:bCs/>
        </w:rPr>
        <w:t xml:space="preserve"> transmission model?</w:t>
      </w:r>
    </w:p>
    <w:p w14:paraId="715F77B7" w14:textId="233B3901" w:rsidR="00F44DAF" w:rsidRPr="00F44DAF" w:rsidRDefault="00F44DAF" w:rsidP="000D2204">
      <w:pPr>
        <w:pStyle w:val="ListParagraph"/>
        <w:ind w:left="0"/>
      </w:pPr>
      <w:r>
        <w:t xml:space="preserve">The cumulative efficacy </w:t>
      </w:r>
      <w:r w:rsidR="003B2BCD" w:rsidRPr="003B2BCD">
        <w:rPr>
          <w:b/>
          <w:bCs/>
        </w:rPr>
        <w:t>up to 54 months</w:t>
      </w:r>
      <w:r w:rsidR="003B2BCD">
        <w:t xml:space="preserve"> for </w:t>
      </w:r>
      <w:r w:rsidR="003B2BCD" w:rsidRPr="003B2BCD">
        <w:rPr>
          <w:b/>
          <w:bCs/>
        </w:rPr>
        <w:t>Safety set</w:t>
      </w:r>
      <w:r w:rsidR="003B2BCD">
        <w:t xml:space="preserve"> from </w:t>
      </w:r>
      <w:proofErr w:type="spellStart"/>
      <w:r w:rsidR="003B2BCD">
        <w:t>Tricou</w:t>
      </w:r>
      <w:proofErr w:type="spellEnd"/>
      <w:r w:rsidR="003B2BCD">
        <w:t xml:space="preserve"> et al., Lancet, 2024</w:t>
      </w:r>
      <w:r w:rsidR="009A3F66">
        <w:t xml:space="preserve">, </w:t>
      </w:r>
      <w:r w:rsidR="003B2BCD">
        <w:t>have been used</w:t>
      </w:r>
      <w:r w:rsidR="00CF2214">
        <w:t xml:space="preserve"> and assumed it remains same over the time</w:t>
      </w:r>
      <w:r w:rsidR="003B2BCD">
        <w:t xml:space="preserve">. The estimates are serotype and </w:t>
      </w:r>
      <w:proofErr w:type="spellStart"/>
      <w:r w:rsidR="003B2BCD">
        <w:t>sero</w:t>
      </w:r>
      <w:proofErr w:type="spellEnd"/>
      <w:r w:rsidR="00D7422C">
        <w:t>-</w:t>
      </w:r>
      <w:r w:rsidR="003B2BCD">
        <w:t xml:space="preserve">status </w:t>
      </w:r>
      <w:r w:rsidR="009A3F66">
        <w:t xml:space="preserve">stratified both for VCD and hospitalization. </w:t>
      </w:r>
    </w:p>
    <w:p w14:paraId="7D172E67" w14:textId="77777777" w:rsidR="008520F0" w:rsidRDefault="008520F0" w:rsidP="00D25392">
      <w:pPr>
        <w:pStyle w:val="ListParagraph"/>
        <w:ind w:left="0"/>
      </w:pPr>
    </w:p>
    <w:p w14:paraId="50D770A2" w14:textId="46B0DB0A" w:rsidR="008520F0" w:rsidRDefault="008520F0" w:rsidP="00D25392">
      <w:pPr>
        <w:pStyle w:val="ListParagraph"/>
        <w:ind w:left="0"/>
        <w:rPr>
          <w:b/>
          <w:bCs/>
        </w:rPr>
      </w:pPr>
      <w:r w:rsidRPr="00393EB2">
        <w:rPr>
          <w:b/>
          <w:bCs/>
        </w:rPr>
        <w:t xml:space="preserve">How to incorporate </w:t>
      </w:r>
      <w:r w:rsidR="00393EB2" w:rsidRPr="00393EB2">
        <w:rPr>
          <w:b/>
          <w:bCs/>
        </w:rPr>
        <w:t>waning of VE?</w:t>
      </w:r>
      <w:r w:rsidR="0033684E">
        <w:rPr>
          <w:b/>
          <w:bCs/>
        </w:rPr>
        <w:t xml:space="preserve"> </w:t>
      </w:r>
    </w:p>
    <w:p w14:paraId="0A1E80BA" w14:textId="1A801936" w:rsidR="00393EB2" w:rsidRPr="00997D89" w:rsidRDefault="00F64E27" w:rsidP="00D25392">
      <w:pPr>
        <w:pStyle w:val="ListParagraph"/>
        <w:ind w:left="0"/>
        <w:rPr>
          <w:i/>
          <w:iCs/>
          <w:color w:val="156082" w:themeColor="accent1"/>
        </w:rPr>
      </w:pPr>
      <w:r w:rsidRPr="00997D89">
        <w:rPr>
          <w:i/>
          <w:iCs/>
          <w:color w:val="156082" w:themeColor="accent1"/>
        </w:rPr>
        <w:t>“</w:t>
      </w:r>
      <w:r w:rsidR="00B80E90" w:rsidRPr="00997D89">
        <w:rPr>
          <w:i/>
          <w:iCs/>
          <w:color w:val="156082" w:themeColor="accent1"/>
        </w:rPr>
        <w:t xml:space="preserve">Is this issue how to model or how to parameterize? The figures don’t show the numbers of events in each group as far as I can tell, but it looks like perhaps there is a dip at the 54 months. Simplest would be the same VE up until this point then a lower after that so we only need two subgroups in the vaccinated. That should be </w:t>
      </w:r>
      <w:proofErr w:type="gramStart"/>
      <w:r w:rsidR="00B80E90" w:rsidRPr="00997D89">
        <w:rPr>
          <w:i/>
          <w:iCs/>
          <w:color w:val="156082" w:themeColor="accent1"/>
        </w:rPr>
        <w:t>fairly straight</w:t>
      </w:r>
      <w:proofErr w:type="gramEnd"/>
      <w:r w:rsidR="005230DB">
        <w:rPr>
          <w:i/>
          <w:iCs/>
          <w:color w:val="156082" w:themeColor="accent1"/>
        </w:rPr>
        <w:t xml:space="preserve"> </w:t>
      </w:r>
      <w:r w:rsidR="00B80E90" w:rsidRPr="00997D89">
        <w:rPr>
          <w:i/>
          <w:iCs/>
          <w:color w:val="156082" w:themeColor="accent1"/>
        </w:rPr>
        <w:t>forward to model but let me know if not. We aren’t then dealing with longer term waning, so if we can get three time since vaccination groups then that would be helpful for sensitivity around this.</w:t>
      </w:r>
      <w:r w:rsidRPr="00997D89">
        <w:rPr>
          <w:i/>
          <w:iCs/>
          <w:color w:val="156082" w:themeColor="accent1"/>
        </w:rPr>
        <w:t>”</w:t>
      </w:r>
    </w:p>
    <w:p w14:paraId="1C697FD6" w14:textId="77777777" w:rsidR="00F64E27" w:rsidRDefault="00F64E27" w:rsidP="00D25392">
      <w:pPr>
        <w:pStyle w:val="ListParagraph"/>
        <w:ind w:left="0"/>
        <w:rPr>
          <w:i/>
          <w:iCs/>
        </w:rPr>
      </w:pPr>
    </w:p>
    <w:p w14:paraId="1A51B104" w14:textId="77777777" w:rsidR="00FD5B08" w:rsidRDefault="00997D89" w:rsidP="00D25392">
      <w:pPr>
        <w:pStyle w:val="ListParagraph"/>
        <w:ind w:left="0"/>
      </w:pPr>
      <w:r>
        <w:t xml:space="preserve">Looking at the </w:t>
      </w:r>
      <w:r w:rsidR="00FA061D">
        <w:t xml:space="preserve">VE estimates over time (Figure </w:t>
      </w:r>
      <w:r w:rsidR="00D478CB">
        <w:t>1</w:t>
      </w:r>
      <w:r w:rsidR="00FA061D">
        <w:t xml:space="preserve">), </w:t>
      </w:r>
      <w:r w:rsidR="006655AE">
        <w:t xml:space="preserve">it seems there is a decreasing trend in VE for VCD, but for hospitalized it not </w:t>
      </w:r>
      <w:r w:rsidR="00D478CB">
        <w:t xml:space="preserve">that clearly visible. </w:t>
      </w:r>
      <w:r w:rsidR="009B3F01">
        <w:t xml:space="preserve">If we look at the serotype stratified estimates (Figure 2), it is getting </w:t>
      </w:r>
      <w:r w:rsidR="008E3FAC">
        <w:t xml:space="preserve">difficult to conclude that there was a reduction in VE over time. </w:t>
      </w:r>
    </w:p>
    <w:p w14:paraId="75D55AD0" w14:textId="77777777" w:rsidR="00FD5B08" w:rsidRDefault="00FD5B08" w:rsidP="00D25392">
      <w:pPr>
        <w:pStyle w:val="ListParagraph"/>
        <w:ind w:left="0"/>
      </w:pPr>
    </w:p>
    <w:p w14:paraId="35297C13" w14:textId="4F9A5EEF" w:rsidR="00153F06" w:rsidRDefault="00F719AE" w:rsidP="00D25392">
      <w:pPr>
        <w:pStyle w:val="ListParagraph"/>
        <w:ind w:left="0"/>
        <w:rPr>
          <w:b/>
          <w:bCs/>
        </w:rPr>
      </w:pPr>
      <w:r>
        <w:t>Just</w:t>
      </w:r>
      <w:r w:rsidR="00D54113">
        <w:t xml:space="preserve"> for the reference</w:t>
      </w:r>
      <w:r w:rsidR="008E3FAC">
        <w:t xml:space="preserve">, </w:t>
      </w:r>
      <w:r w:rsidR="00D54113">
        <w:t>in</w:t>
      </w:r>
      <w:r w:rsidR="008E3FAC">
        <w:t xml:space="preserve"> HITAP meeting, </w:t>
      </w:r>
      <w:r w:rsidR="00ED498D">
        <w:t>Prof. Neil showed the estimates</w:t>
      </w:r>
      <w:r w:rsidR="00D74A59">
        <w:t xml:space="preserve"> of VE over time (stratified </w:t>
      </w:r>
      <w:proofErr w:type="spellStart"/>
      <w:r w:rsidR="00D74A59">
        <w:t>wrt</w:t>
      </w:r>
      <w:proofErr w:type="spellEnd"/>
      <w:r w:rsidR="00D74A59">
        <w:t xml:space="preserve"> to serotype and serostatus), using a survival model. </w:t>
      </w:r>
      <w:r w:rsidR="00FD5B08">
        <w:t>Here the decreasing trend is clearly visible (see the screenshot below).</w:t>
      </w:r>
      <w:r w:rsidR="00900D24">
        <w:t xml:space="preserve"> Consequently, </w:t>
      </w:r>
      <w:r w:rsidR="00C10A54">
        <w:t>these estimates</w:t>
      </w:r>
      <w:r w:rsidR="00900D24">
        <w:t xml:space="preserve"> have been used in the transmission model, </w:t>
      </w:r>
      <w:r w:rsidR="00B711C7">
        <w:t xml:space="preserve">and created some scenarios: </w:t>
      </w:r>
      <w:r w:rsidR="00B711C7" w:rsidRPr="00C10A54">
        <w:rPr>
          <w:b/>
          <w:bCs/>
        </w:rPr>
        <w:t xml:space="preserve">VE decays with this rate for next few years and </w:t>
      </w:r>
      <w:r w:rsidR="00C10A54" w:rsidRPr="00C10A54">
        <w:rPr>
          <w:b/>
          <w:bCs/>
        </w:rPr>
        <w:t xml:space="preserve">then </w:t>
      </w:r>
      <w:r w:rsidR="0033684E" w:rsidRPr="00C10A54">
        <w:rPr>
          <w:b/>
          <w:bCs/>
        </w:rPr>
        <w:t>stops</w:t>
      </w:r>
      <w:r w:rsidR="00C10A54" w:rsidRPr="00C10A54">
        <w:rPr>
          <w:b/>
          <w:bCs/>
        </w:rPr>
        <w:t xml:space="preserve"> decaying.</w:t>
      </w:r>
    </w:p>
    <w:p w14:paraId="13C960A8" w14:textId="2843BBA3" w:rsidR="00852EEF" w:rsidRDefault="00852EEF" w:rsidP="00852EEF">
      <w:pPr>
        <w:pStyle w:val="ListParagraph"/>
        <w:ind w:left="0"/>
        <w:jc w:val="center"/>
        <w:rPr>
          <w:b/>
          <w:bCs/>
        </w:rPr>
      </w:pPr>
      <w:r>
        <w:rPr>
          <w:noProof/>
        </w:rPr>
        <w:drawing>
          <wp:inline distT="0" distB="0" distL="0" distR="0" wp14:anchorId="4982196E" wp14:editId="030FE690">
            <wp:extent cx="4626754" cy="2724150"/>
            <wp:effectExtent l="0" t="0" r="2540" b="0"/>
            <wp:docPr id="1313885614"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3885614" name="Picture 1" descr="A screenshot of a computer&#10;&#10;Description automatically generated"/>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4629859" cy="2725978"/>
                    </a:xfrm>
                    <a:prstGeom prst="rect">
                      <a:avLst/>
                    </a:prstGeom>
                    <a:noFill/>
                    <a:ln>
                      <a:noFill/>
                    </a:ln>
                  </pic:spPr>
                </pic:pic>
              </a:graphicData>
            </a:graphic>
          </wp:inline>
        </w:drawing>
      </w:r>
    </w:p>
    <w:p w14:paraId="2EF1087F" w14:textId="77777777" w:rsidR="00C10A54" w:rsidRDefault="00C10A54" w:rsidP="00D25392">
      <w:pPr>
        <w:pStyle w:val="ListParagraph"/>
        <w:ind w:left="0"/>
        <w:rPr>
          <w:b/>
          <w:bCs/>
        </w:rPr>
      </w:pPr>
    </w:p>
    <w:p w14:paraId="40AB0ABB" w14:textId="77777777" w:rsidR="00852EEF" w:rsidRDefault="00852EEF" w:rsidP="00D25392">
      <w:pPr>
        <w:pStyle w:val="ListParagraph"/>
        <w:ind w:left="0"/>
        <w:rPr>
          <w:b/>
          <w:bCs/>
        </w:rPr>
      </w:pPr>
    </w:p>
    <w:p w14:paraId="46292387" w14:textId="75C69842" w:rsidR="008C6855" w:rsidRDefault="00871C99" w:rsidP="00D25392">
      <w:pPr>
        <w:pStyle w:val="ListParagraph"/>
        <w:ind w:left="0"/>
        <w:rPr>
          <w:b/>
          <w:bCs/>
        </w:rPr>
      </w:pPr>
      <w:r>
        <w:rPr>
          <w:b/>
          <w:bCs/>
        </w:rPr>
        <w:lastRenderedPageBreak/>
        <w:t>Parametrization:</w:t>
      </w:r>
    </w:p>
    <w:p w14:paraId="76239B33" w14:textId="4DB5A58C" w:rsidR="00C10A54" w:rsidRDefault="0033684E" w:rsidP="009704CD">
      <w:pPr>
        <w:pStyle w:val="ListParagraph"/>
        <w:numPr>
          <w:ilvl w:val="0"/>
          <w:numId w:val="3"/>
        </w:numPr>
      </w:pPr>
      <w:r w:rsidRPr="00C733EE">
        <w:t xml:space="preserve">However, in our case, </w:t>
      </w:r>
      <w:r w:rsidR="00C733EE">
        <w:t xml:space="preserve">for simplicity if we assume that VE remains same </w:t>
      </w:r>
      <w:r w:rsidR="00736007">
        <w:t xml:space="preserve">until 54 months, then we need to </w:t>
      </w:r>
      <w:r w:rsidR="009704CD">
        <w:t xml:space="preserve">somehow </w:t>
      </w:r>
      <w:r w:rsidR="00736007">
        <w:t xml:space="preserve">justify </w:t>
      </w:r>
      <w:r w:rsidR="009704CD">
        <w:t>our assumption.</w:t>
      </w:r>
    </w:p>
    <w:p w14:paraId="46969230" w14:textId="6965D7AD" w:rsidR="002A4F8D" w:rsidRDefault="00DF34A0" w:rsidP="002A4F8D">
      <w:pPr>
        <w:pStyle w:val="ListParagraph"/>
        <w:numPr>
          <w:ilvl w:val="0"/>
          <w:numId w:val="3"/>
        </w:numPr>
      </w:pPr>
      <w:r>
        <w:t xml:space="preserve">If we can justify that, the next </w:t>
      </w:r>
      <w:r w:rsidR="00CC0944">
        <w:t>task</w:t>
      </w:r>
      <w:r>
        <w:t xml:space="preserve"> </w:t>
      </w:r>
      <w:r w:rsidR="00CC0944">
        <w:t>is</w:t>
      </w:r>
      <w:r w:rsidR="00FC1A00">
        <w:t>,</w:t>
      </w:r>
      <w:r w:rsidR="00CC0944">
        <w:t xml:space="preserve"> </w:t>
      </w:r>
      <w:r>
        <w:t>which VE estimate to consider as baseline? The cumulative VE</w:t>
      </w:r>
      <w:r w:rsidR="007F0D9C">
        <w:t xml:space="preserve"> up to 54 months reported for Safety set in </w:t>
      </w:r>
      <w:proofErr w:type="spellStart"/>
      <w:r w:rsidR="007F0D9C">
        <w:t>Tricou</w:t>
      </w:r>
      <w:proofErr w:type="spellEnd"/>
      <w:r w:rsidR="007F0D9C">
        <w:t xml:space="preserve"> et al</w:t>
      </w:r>
      <w:r w:rsidR="000A4B25">
        <w:t>, Lancet, 2024</w:t>
      </w:r>
      <w:r w:rsidR="00DF4DE1">
        <w:t xml:space="preserve"> (the same estimate I have used in </w:t>
      </w:r>
      <w:r w:rsidR="00CC0944">
        <w:t>the analysis so far</w:t>
      </w:r>
      <w:r w:rsidR="00DF4DE1">
        <w:t>)</w:t>
      </w:r>
      <w:r w:rsidR="007F0D9C">
        <w:t>?</w:t>
      </w:r>
      <w:r w:rsidR="002A4F8D">
        <w:t xml:space="preserve"> </w:t>
      </w:r>
      <w:r w:rsidR="000A4B25">
        <w:t>Or we can calculate the VE up</w:t>
      </w:r>
      <w:r w:rsidR="00852EEF">
        <w:t xml:space="preserve"> </w:t>
      </w:r>
      <w:r w:rsidR="000A4B25">
        <w:t xml:space="preserve">to 54 months from </w:t>
      </w:r>
      <w:r w:rsidR="008C6855">
        <w:t>per-protocol population using the simple formula, VE = 1 – Relative Risk</w:t>
      </w:r>
      <w:r w:rsidR="002A4F8D">
        <w:t>?</w:t>
      </w:r>
    </w:p>
    <w:p w14:paraId="2E4D5783" w14:textId="5C328E0B" w:rsidR="002A4F8D" w:rsidRDefault="009960DA" w:rsidP="002A4F8D">
      <w:pPr>
        <w:pStyle w:val="ListParagraph"/>
        <w:numPr>
          <w:ilvl w:val="0"/>
          <w:numId w:val="3"/>
        </w:numPr>
      </w:pPr>
      <w:r>
        <w:t xml:space="preserve">We can then create scenarios based on the rate of decay and </w:t>
      </w:r>
      <w:r w:rsidR="005230DB">
        <w:t>time point after which it stops decaying.</w:t>
      </w:r>
    </w:p>
    <w:p w14:paraId="2D6F54D2" w14:textId="77777777" w:rsidR="002A4F8D" w:rsidRDefault="002A4F8D" w:rsidP="002A4F8D">
      <w:pPr>
        <w:pStyle w:val="ListParagraph"/>
      </w:pPr>
    </w:p>
    <w:p w14:paraId="27A11399" w14:textId="16EA8209" w:rsidR="009704CD" w:rsidRDefault="00852EEF" w:rsidP="00852EEF">
      <w:pPr>
        <w:rPr>
          <w:b/>
          <w:bCs/>
        </w:rPr>
      </w:pPr>
      <w:r w:rsidRPr="00852EEF">
        <w:rPr>
          <w:b/>
          <w:bCs/>
        </w:rPr>
        <w:t>Modelling</w:t>
      </w:r>
      <w:r>
        <w:rPr>
          <w:b/>
          <w:bCs/>
        </w:rPr>
        <w:t>:</w:t>
      </w:r>
    </w:p>
    <w:p w14:paraId="60E2AE4E" w14:textId="77777777" w:rsidR="00BD44B5" w:rsidRDefault="00B57874" w:rsidP="00852EEF">
      <w:r>
        <w:t>To adapt waning of VE in the transmission mode</w:t>
      </w:r>
      <w:r w:rsidR="00726A85">
        <w:t>l, I am considering</w:t>
      </w:r>
    </w:p>
    <w:p w14:paraId="346CCB5F" w14:textId="77777777" w:rsidR="00BD44B5" w:rsidRDefault="00726A85" w:rsidP="00BD44B5">
      <w:pPr>
        <w:pStyle w:val="ListParagraph"/>
        <w:numPr>
          <w:ilvl w:val="0"/>
          <w:numId w:val="4"/>
        </w:numPr>
      </w:pPr>
      <w:r>
        <w:t xml:space="preserve">one compartment for </w:t>
      </w:r>
      <w:r w:rsidR="001F4191">
        <w:t>tracking the 54 months since vaccination with baseline VE</w:t>
      </w:r>
      <w:r w:rsidR="0035755F">
        <w:t xml:space="preserve"> (no decay)</w:t>
      </w:r>
      <w:r w:rsidR="001F4191">
        <w:t xml:space="preserve">, </w:t>
      </w:r>
    </w:p>
    <w:p w14:paraId="694911D2" w14:textId="77777777" w:rsidR="00BD44B5" w:rsidRDefault="00AF148B" w:rsidP="00BD44B5">
      <w:pPr>
        <w:pStyle w:val="ListParagraph"/>
        <w:numPr>
          <w:ilvl w:val="0"/>
          <w:numId w:val="4"/>
        </w:numPr>
      </w:pPr>
      <w:proofErr w:type="gramStart"/>
      <w:r>
        <w:t>then</w:t>
      </w:r>
      <w:proofErr w:type="gramEnd"/>
      <w:r>
        <w:t xml:space="preserve"> they will </w:t>
      </w:r>
      <w:proofErr w:type="gramStart"/>
      <w:r>
        <w:t>transferred</w:t>
      </w:r>
      <w:proofErr w:type="gramEnd"/>
      <w:r>
        <w:t xml:space="preserve"> to </w:t>
      </w:r>
      <w:r w:rsidR="008D2C36">
        <w:t xml:space="preserve">the compartments </w:t>
      </w:r>
      <w:r w:rsidR="00EA59DB">
        <w:t>where there will be</w:t>
      </w:r>
      <w:r w:rsidR="003D6A0D">
        <w:t xml:space="preserve"> decay in VE with a specific rate up to “y” years.</w:t>
      </w:r>
    </w:p>
    <w:p w14:paraId="75CFF40C" w14:textId="4CC2D3ED" w:rsidR="00B57874" w:rsidRDefault="00B226C1" w:rsidP="00BD44B5">
      <w:pPr>
        <w:pStyle w:val="ListParagraph"/>
        <w:numPr>
          <w:ilvl w:val="0"/>
          <w:numId w:val="4"/>
        </w:numPr>
      </w:pPr>
      <w:r>
        <w:t xml:space="preserve"> Finally</w:t>
      </w:r>
      <w:r w:rsidR="00695F2E">
        <w:t xml:space="preserve">, </w:t>
      </w:r>
      <w:r>
        <w:t xml:space="preserve">they will move to the compartment </w:t>
      </w:r>
      <w:r w:rsidR="00695F2E">
        <w:t xml:space="preserve">where there won’t be any decay on VE. </w:t>
      </w:r>
    </w:p>
    <w:p w14:paraId="5AFC5884" w14:textId="2667708B" w:rsidR="00695F2E" w:rsidRDefault="00815C70" w:rsidP="00AF3539">
      <w:pPr>
        <w:jc w:val="center"/>
      </w:pPr>
      <w:r w:rsidRPr="00815C70">
        <w:rPr>
          <w:noProof/>
        </w:rPr>
        <w:drawing>
          <wp:inline distT="0" distB="0" distL="0" distR="0" wp14:anchorId="6BEC10E5" wp14:editId="69A24BF7">
            <wp:extent cx="2770719" cy="3771900"/>
            <wp:effectExtent l="0" t="0" r="0" b="0"/>
            <wp:docPr id="7" name="Picture 6" descr="A diagram of a vaccination process&#10;&#10;Description automatically generated">
              <a:extLst xmlns:a="http://schemas.openxmlformats.org/drawingml/2006/main">
                <a:ext uri="{FF2B5EF4-FFF2-40B4-BE49-F238E27FC236}">
                  <a16:creationId xmlns:a16="http://schemas.microsoft.com/office/drawing/2014/main" id="{B67EF1FA-F108-03C8-0EF6-059E52C16AE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descr="A diagram of a vaccination process&#10;&#10;Description automatically generated">
                      <a:extLst>
                        <a:ext uri="{FF2B5EF4-FFF2-40B4-BE49-F238E27FC236}">
                          <a16:creationId xmlns:a16="http://schemas.microsoft.com/office/drawing/2014/main" id="{B67EF1FA-F108-03C8-0EF6-059E52C16AEE}"/>
                        </a:ext>
                      </a:extLst>
                    </pic:cNvPr>
                    <pic:cNvPicPr>
                      <a:picLocks noChangeAspect="1"/>
                    </pic:cNvPicPr>
                  </pic:nvPicPr>
                  <pic:blipFill rotWithShape="1">
                    <a:blip r:embed="rId10">
                      <a:extLst>
                        <a:ext uri="{28A0092B-C50C-407E-A947-70E740481C1C}">
                          <a14:useLocalDpi xmlns:a14="http://schemas.microsoft.com/office/drawing/2010/main" val="0"/>
                        </a:ext>
                      </a:extLst>
                    </a:blip>
                    <a:srcRect l="29192" t="3446" r="34747" b="9282"/>
                    <a:stretch/>
                  </pic:blipFill>
                  <pic:spPr>
                    <a:xfrm>
                      <a:off x="0" y="0"/>
                      <a:ext cx="2775029" cy="3777768"/>
                    </a:xfrm>
                    <a:prstGeom prst="rect">
                      <a:avLst/>
                    </a:prstGeom>
                  </pic:spPr>
                </pic:pic>
              </a:graphicData>
            </a:graphic>
          </wp:inline>
        </w:drawing>
      </w:r>
    </w:p>
    <w:p w14:paraId="565F39D3" w14:textId="32A0C68D" w:rsidR="00DF4DE1" w:rsidRPr="00680D6E" w:rsidRDefault="00897BF6" w:rsidP="00680D6E">
      <w:pPr>
        <w:jc w:val="center"/>
      </w:pPr>
      <w:r>
        <w:rPr>
          <w:noProof/>
        </w:rPr>
        <w:lastRenderedPageBreak/>
        <w:drawing>
          <wp:inline distT="0" distB="0" distL="0" distR="0" wp14:anchorId="3FDEEB48" wp14:editId="1CA58193">
            <wp:extent cx="4502989" cy="2778988"/>
            <wp:effectExtent l="0" t="0" r="0" b="1270"/>
            <wp:docPr id="131107582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4502989" cy="2778988"/>
                    </a:xfrm>
                    <a:prstGeom prst="rect">
                      <a:avLst/>
                    </a:prstGeom>
                    <a:noFill/>
                  </pic:spPr>
                </pic:pic>
              </a:graphicData>
            </a:graphic>
          </wp:inline>
        </w:drawing>
      </w:r>
    </w:p>
    <w:p w14:paraId="23793B4F" w14:textId="77777777" w:rsidR="00852EEF" w:rsidRPr="00852EEF" w:rsidRDefault="00852EEF" w:rsidP="00852EEF">
      <w:pPr>
        <w:rPr>
          <w:b/>
          <w:bCs/>
        </w:rPr>
      </w:pPr>
    </w:p>
    <w:p w14:paraId="22E0B94E" w14:textId="4A8BFB1A" w:rsidR="00153F06" w:rsidRDefault="00153F06" w:rsidP="00D25392">
      <w:pPr>
        <w:pStyle w:val="ListParagraph"/>
        <w:ind w:left="0"/>
        <w:rPr>
          <w:b/>
          <w:bCs/>
        </w:rPr>
      </w:pPr>
    </w:p>
    <w:p w14:paraId="62959D5A" w14:textId="23636988" w:rsidR="00FD5B08" w:rsidRDefault="00AF3539" w:rsidP="00AF3539">
      <w:pPr>
        <w:pStyle w:val="ListParagraph"/>
        <w:ind w:left="0"/>
        <w:jc w:val="center"/>
        <w:rPr>
          <w:b/>
          <w:bCs/>
        </w:rPr>
      </w:pPr>
      <w:r>
        <w:rPr>
          <w:b/>
          <w:bCs/>
          <w:noProof/>
        </w:rPr>
        <w:drawing>
          <wp:inline distT="0" distB="0" distL="0" distR="0" wp14:anchorId="0CA852B6" wp14:editId="79B9011A">
            <wp:extent cx="4425351" cy="2731073"/>
            <wp:effectExtent l="0" t="0" r="0" b="0"/>
            <wp:docPr id="21616002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450535" cy="2746615"/>
                    </a:xfrm>
                    <a:prstGeom prst="rect">
                      <a:avLst/>
                    </a:prstGeom>
                    <a:noFill/>
                  </pic:spPr>
                </pic:pic>
              </a:graphicData>
            </a:graphic>
          </wp:inline>
        </w:drawing>
      </w:r>
    </w:p>
    <w:p w14:paraId="5E7F2C79" w14:textId="77777777" w:rsidR="00FD5B08" w:rsidRPr="00393EB2" w:rsidRDefault="00FD5B08" w:rsidP="00D25392">
      <w:pPr>
        <w:pStyle w:val="ListParagraph"/>
        <w:ind w:left="0"/>
        <w:rPr>
          <w:b/>
          <w:bCs/>
        </w:rPr>
      </w:pPr>
    </w:p>
    <w:sectPr w:rsidR="00FD5B08" w:rsidRPr="00393EB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6727A45"/>
    <w:multiLevelType w:val="hybridMultilevel"/>
    <w:tmpl w:val="05C4963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68605EB"/>
    <w:multiLevelType w:val="hybridMultilevel"/>
    <w:tmpl w:val="E93E77C2"/>
    <w:lvl w:ilvl="0" w:tplc="36B04740">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90E73D9"/>
    <w:multiLevelType w:val="hybridMultilevel"/>
    <w:tmpl w:val="8494B218"/>
    <w:lvl w:ilvl="0" w:tplc="3026AC4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17D355D"/>
    <w:multiLevelType w:val="hybridMultilevel"/>
    <w:tmpl w:val="EDBE56FE"/>
    <w:lvl w:ilvl="0" w:tplc="DDC437DA">
      <w:start w:val="1"/>
      <w:numFmt w:val="decimal"/>
      <w:lvlText w:val="(%1)"/>
      <w:lvlJc w:val="left"/>
      <w:pPr>
        <w:ind w:left="405" w:hanging="360"/>
      </w:pPr>
      <w:rPr>
        <w:rFonts w:hint="default"/>
      </w:rPr>
    </w:lvl>
    <w:lvl w:ilvl="1" w:tplc="04090019" w:tentative="1">
      <w:start w:val="1"/>
      <w:numFmt w:val="lowerLetter"/>
      <w:lvlText w:val="%2."/>
      <w:lvlJc w:val="left"/>
      <w:pPr>
        <w:ind w:left="1125" w:hanging="360"/>
      </w:pPr>
    </w:lvl>
    <w:lvl w:ilvl="2" w:tplc="0409001B" w:tentative="1">
      <w:start w:val="1"/>
      <w:numFmt w:val="lowerRoman"/>
      <w:lvlText w:val="%3."/>
      <w:lvlJc w:val="right"/>
      <w:pPr>
        <w:ind w:left="1845" w:hanging="180"/>
      </w:pPr>
    </w:lvl>
    <w:lvl w:ilvl="3" w:tplc="0409000F" w:tentative="1">
      <w:start w:val="1"/>
      <w:numFmt w:val="decimal"/>
      <w:lvlText w:val="%4."/>
      <w:lvlJc w:val="left"/>
      <w:pPr>
        <w:ind w:left="2565" w:hanging="360"/>
      </w:pPr>
    </w:lvl>
    <w:lvl w:ilvl="4" w:tplc="04090019" w:tentative="1">
      <w:start w:val="1"/>
      <w:numFmt w:val="lowerLetter"/>
      <w:lvlText w:val="%5."/>
      <w:lvlJc w:val="left"/>
      <w:pPr>
        <w:ind w:left="3285" w:hanging="360"/>
      </w:pPr>
    </w:lvl>
    <w:lvl w:ilvl="5" w:tplc="0409001B" w:tentative="1">
      <w:start w:val="1"/>
      <w:numFmt w:val="lowerRoman"/>
      <w:lvlText w:val="%6."/>
      <w:lvlJc w:val="right"/>
      <w:pPr>
        <w:ind w:left="4005" w:hanging="180"/>
      </w:pPr>
    </w:lvl>
    <w:lvl w:ilvl="6" w:tplc="0409000F" w:tentative="1">
      <w:start w:val="1"/>
      <w:numFmt w:val="decimal"/>
      <w:lvlText w:val="%7."/>
      <w:lvlJc w:val="left"/>
      <w:pPr>
        <w:ind w:left="4725" w:hanging="360"/>
      </w:pPr>
    </w:lvl>
    <w:lvl w:ilvl="7" w:tplc="04090019" w:tentative="1">
      <w:start w:val="1"/>
      <w:numFmt w:val="lowerLetter"/>
      <w:lvlText w:val="%8."/>
      <w:lvlJc w:val="left"/>
      <w:pPr>
        <w:ind w:left="5445" w:hanging="360"/>
      </w:pPr>
    </w:lvl>
    <w:lvl w:ilvl="8" w:tplc="0409001B" w:tentative="1">
      <w:start w:val="1"/>
      <w:numFmt w:val="lowerRoman"/>
      <w:lvlText w:val="%9."/>
      <w:lvlJc w:val="right"/>
      <w:pPr>
        <w:ind w:left="6165" w:hanging="180"/>
      </w:pPr>
    </w:lvl>
  </w:abstractNum>
  <w:num w:numId="1" w16cid:durableId="1042438329">
    <w:abstractNumId w:val="0"/>
  </w:num>
  <w:num w:numId="2" w16cid:durableId="1667830">
    <w:abstractNumId w:val="1"/>
  </w:num>
  <w:num w:numId="3" w16cid:durableId="1523784105">
    <w:abstractNumId w:val="2"/>
  </w:num>
  <w:num w:numId="4" w16cid:durableId="125039101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006B5"/>
    <w:rsid w:val="00001920"/>
    <w:rsid w:val="00040697"/>
    <w:rsid w:val="00040F14"/>
    <w:rsid w:val="00064E6B"/>
    <w:rsid w:val="00074E00"/>
    <w:rsid w:val="000A4B25"/>
    <w:rsid w:val="000D2204"/>
    <w:rsid w:val="000F0D00"/>
    <w:rsid w:val="001321AF"/>
    <w:rsid w:val="0013688F"/>
    <w:rsid w:val="00153F06"/>
    <w:rsid w:val="00160D62"/>
    <w:rsid w:val="00160FAD"/>
    <w:rsid w:val="001D7DBB"/>
    <w:rsid w:val="001F4191"/>
    <w:rsid w:val="00207C4C"/>
    <w:rsid w:val="002333EB"/>
    <w:rsid w:val="0025585E"/>
    <w:rsid w:val="002A4F8D"/>
    <w:rsid w:val="002B62BF"/>
    <w:rsid w:val="00305CAA"/>
    <w:rsid w:val="0033684E"/>
    <w:rsid w:val="0035755F"/>
    <w:rsid w:val="00364C2F"/>
    <w:rsid w:val="00393EB2"/>
    <w:rsid w:val="003B2BCD"/>
    <w:rsid w:val="003D6A0D"/>
    <w:rsid w:val="003F06EB"/>
    <w:rsid w:val="00406D03"/>
    <w:rsid w:val="0043342C"/>
    <w:rsid w:val="004A6DE4"/>
    <w:rsid w:val="004B0FEE"/>
    <w:rsid w:val="005230DB"/>
    <w:rsid w:val="005407B4"/>
    <w:rsid w:val="0054765B"/>
    <w:rsid w:val="0058383E"/>
    <w:rsid w:val="005D3078"/>
    <w:rsid w:val="005D4A9D"/>
    <w:rsid w:val="005E2AAB"/>
    <w:rsid w:val="005E5E5B"/>
    <w:rsid w:val="00617633"/>
    <w:rsid w:val="006655AE"/>
    <w:rsid w:val="00680D6E"/>
    <w:rsid w:val="006832B0"/>
    <w:rsid w:val="00695F2E"/>
    <w:rsid w:val="006A41AE"/>
    <w:rsid w:val="00726A85"/>
    <w:rsid w:val="00736007"/>
    <w:rsid w:val="007842E9"/>
    <w:rsid w:val="007E5E96"/>
    <w:rsid w:val="007F0D9C"/>
    <w:rsid w:val="00815C70"/>
    <w:rsid w:val="00827458"/>
    <w:rsid w:val="00841EAC"/>
    <w:rsid w:val="00847BF2"/>
    <w:rsid w:val="008520F0"/>
    <w:rsid w:val="00852EEF"/>
    <w:rsid w:val="00865C4B"/>
    <w:rsid w:val="00871C99"/>
    <w:rsid w:val="00877EA1"/>
    <w:rsid w:val="008972BE"/>
    <w:rsid w:val="00897BF6"/>
    <w:rsid w:val="008C6855"/>
    <w:rsid w:val="008D2C36"/>
    <w:rsid w:val="008E3FAC"/>
    <w:rsid w:val="00900D24"/>
    <w:rsid w:val="009704CD"/>
    <w:rsid w:val="009960DA"/>
    <w:rsid w:val="00997D89"/>
    <w:rsid w:val="009A3F66"/>
    <w:rsid w:val="009B3F01"/>
    <w:rsid w:val="009B6594"/>
    <w:rsid w:val="00A02EC9"/>
    <w:rsid w:val="00A1265D"/>
    <w:rsid w:val="00A64EDA"/>
    <w:rsid w:val="00A765F4"/>
    <w:rsid w:val="00AB007D"/>
    <w:rsid w:val="00AB1C6B"/>
    <w:rsid w:val="00AC0378"/>
    <w:rsid w:val="00AF148B"/>
    <w:rsid w:val="00AF3539"/>
    <w:rsid w:val="00AF7B0F"/>
    <w:rsid w:val="00B006B5"/>
    <w:rsid w:val="00B1337A"/>
    <w:rsid w:val="00B21122"/>
    <w:rsid w:val="00B226C1"/>
    <w:rsid w:val="00B41D16"/>
    <w:rsid w:val="00B57874"/>
    <w:rsid w:val="00B711C7"/>
    <w:rsid w:val="00B80E90"/>
    <w:rsid w:val="00BD44B5"/>
    <w:rsid w:val="00BD6820"/>
    <w:rsid w:val="00BE0FE8"/>
    <w:rsid w:val="00BE3DFC"/>
    <w:rsid w:val="00BF55DA"/>
    <w:rsid w:val="00C01B81"/>
    <w:rsid w:val="00C10A54"/>
    <w:rsid w:val="00C27578"/>
    <w:rsid w:val="00C51C40"/>
    <w:rsid w:val="00C733EE"/>
    <w:rsid w:val="00CA1AE4"/>
    <w:rsid w:val="00CC06FB"/>
    <w:rsid w:val="00CC0944"/>
    <w:rsid w:val="00CC6969"/>
    <w:rsid w:val="00CF2214"/>
    <w:rsid w:val="00D035BC"/>
    <w:rsid w:val="00D06E81"/>
    <w:rsid w:val="00D1007F"/>
    <w:rsid w:val="00D16542"/>
    <w:rsid w:val="00D16855"/>
    <w:rsid w:val="00D233CB"/>
    <w:rsid w:val="00D25392"/>
    <w:rsid w:val="00D257F0"/>
    <w:rsid w:val="00D478CB"/>
    <w:rsid w:val="00D54113"/>
    <w:rsid w:val="00D55702"/>
    <w:rsid w:val="00D600F2"/>
    <w:rsid w:val="00D6242F"/>
    <w:rsid w:val="00D7422C"/>
    <w:rsid w:val="00D74A59"/>
    <w:rsid w:val="00D955F4"/>
    <w:rsid w:val="00DD78A4"/>
    <w:rsid w:val="00DF1FC7"/>
    <w:rsid w:val="00DF34A0"/>
    <w:rsid w:val="00DF4DE1"/>
    <w:rsid w:val="00DF71C0"/>
    <w:rsid w:val="00E80AFF"/>
    <w:rsid w:val="00E96E21"/>
    <w:rsid w:val="00EA59DB"/>
    <w:rsid w:val="00EA60DA"/>
    <w:rsid w:val="00EA7C13"/>
    <w:rsid w:val="00ED1D5D"/>
    <w:rsid w:val="00ED498D"/>
    <w:rsid w:val="00ED5E32"/>
    <w:rsid w:val="00F43BC9"/>
    <w:rsid w:val="00F44753"/>
    <w:rsid w:val="00F44DAF"/>
    <w:rsid w:val="00F64E27"/>
    <w:rsid w:val="00F719AE"/>
    <w:rsid w:val="00F91452"/>
    <w:rsid w:val="00FA061D"/>
    <w:rsid w:val="00FA2A64"/>
    <w:rsid w:val="00FC1A00"/>
    <w:rsid w:val="00FC286C"/>
    <w:rsid w:val="00FC77F7"/>
    <w:rsid w:val="00FD5B08"/>
    <w:rsid w:val="00FF50F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897F26"/>
  <w15:chartTrackingRefBased/>
  <w15:docId w15:val="{960B1D49-A717-486B-AFF2-4FE52B554A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006B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006B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006B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006B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006B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006B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006B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006B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006B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006B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006B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006B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006B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006B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006B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006B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006B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006B5"/>
    <w:rPr>
      <w:rFonts w:eastAsiaTheme="majorEastAsia" w:cstheme="majorBidi"/>
      <w:color w:val="272727" w:themeColor="text1" w:themeTint="D8"/>
    </w:rPr>
  </w:style>
  <w:style w:type="paragraph" w:styleId="Title">
    <w:name w:val="Title"/>
    <w:basedOn w:val="Normal"/>
    <w:next w:val="Normal"/>
    <w:link w:val="TitleChar"/>
    <w:uiPriority w:val="10"/>
    <w:qFormat/>
    <w:rsid w:val="00B006B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006B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006B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006B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006B5"/>
    <w:pPr>
      <w:spacing w:before="160"/>
      <w:jc w:val="center"/>
    </w:pPr>
    <w:rPr>
      <w:i/>
      <w:iCs/>
      <w:color w:val="404040" w:themeColor="text1" w:themeTint="BF"/>
    </w:rPr>
  </w:style>
  <w:style w:type="character" w:customStyle="1" w:styleId="QuoteChar">
    <w:name w:val="Quote Char"/>
    <w:basedOn w:val="DefaultParagraphFont"/>
    <w:link w:val="Quote"/>
    <w:uiPriority w:val="29"/>
    <w:rsid w:val="00B006B5"/>
    <w:rPr>
      <w:i/>
      <w:iCs/>
      <w:color w:val="404040" w:themeColor="text1" w:themeTint="BF"/>
    </w:rPr>
  </w:style>
  <w:style w:type="paragraph" w:styleId="ListParagraph">
    <w:name w:val="List Paragraph"/>
    <w:basedOn w:val="Normal"/>
    <w:uiPriority w:val="34"/>
    <w:qFormat/>
    <w:rsid w:val="00B006B5"/>
    <w:pPr>
      <w:ind w:left="720"/>
      <w:contextualSpacing/>
    </w:pPr>
  </w:style>
  <w:style w:type="character" w:styleId="IntenseEmphasis">
    <w:name w:val="Intense Emphasis"/>
    <w:basedOn w:val="DefaultParagraphFont"/>
    <w:uiPriority w:val="21"/>
    <w:qFormat/>
    <w:rsid w:val="00B006B5"/>
    <w:rPr>
      <w:i/>
      <w:iCs/>
      <w:color w:val="0F4761" w:themeColor="accent1" w:themeShade="BF"/>
    </w:rPr>
  </w:style>
  <w:style w:type="paragraph" w:styleId="IntenseQuote">
    <w:name w:val="Intense Quote"/>
    <w:basedOn w:val="Normal"/>
    <w:next w:val="Normal"/>
    <w:link w:val="IntenseQuoteChar"/>
    <w:uiPriority w:val="30"/>
    <w:qFormat/>
    <w:rsid w:val="00B006B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006B5"/>
    <w:rPr>
      <w:i/>
      <w:iCs/>
      <w:color w:val="0F4761" w:themeColor="accent1" w:themeShade="BF"/>
    </w:rPr>
  </w:style>
  <w:style w:type="character" w:styleId="IntenseReference">
    <w:name w:val="Intense Reference"/>
    <w:basedOn w:val="DefaultParagraphFont"/>
    <w:uiPriority w:val="32"/>
    <w:qFormat/>
    <w:rsid w:val="00B006B5"/>
    <w:rPr>
      <w:b/>
      <w:bCs/>
      <w:smallCaps/>
      <w:color w:val="0F4761" w:themeColor="accent1" w:themeShade="BF"/>
      <w:spacing w:val="5"/>
    </w:rPr>
  </w:style>
  <w:style w:type="table" w:styleId="TableGrid">
    <w:name w:val="Table Grid"/>
    <w:basedOn w:val="TableNormal"/>
    <w:uiPriority w:val="39"/>
    <w:rsid w:val="00074E0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086226105">
      <w:bodyDiv w:val="1"/>
      <w:marLeft w:val="0"/>
      <w:marRight w:val="0"/>
      <w:marTop w:val="0"/>
      <w:marBottom w:val="0"/>
      <w:divBdr>
        <w:top w:val="none" w:sz="0" w:space="0" w:color="auto"/>
        <w:left w:val="none" w:sz="0" w:space="0" w:color="auto"/>
        <w:bottom w:val="none" w:sz="0" w:space="0" w:color="auto"/>
        <w:right w:val="none" w:sz="0" w:space="0" w:color="auto"/>
      </w:divBdr>
    </w:div>
    <w:div w:id="1105072844">
      <w:bodyDiv w:val="1"/>
      <w:marLeft w:val="0"/>
      <w:marRight w:val="0"/>
      <w:marTop w:val="0"/>
      <w:marBottom w:val="0"/>
      <w:divBdr>
        <w:top w:val="none" w:sz="0" w:space="0" w:color="auto"/>
        <w:left w:val="none" w:sz="0" w:space="0" w:color="auto"/>
        <w:bottom w:val="none" w:sz="0" w:space="0" w:color="auto"/>
        <w:right w:val="none" w:sz="0" w:space="0" w:color="auto"/>
      </w:divBdr>
    </w:div>
    <w:div w:id="1799910207">
      <w:bodyDiv w:val="1"/>
      <w:marLeft w:val="0"/>
      <w:marRight w:val="0"/>
      <w:marTop w:val="0"/>
      <w:marBottom w:val="0"/>
      <w:divBdr>
        <w:top w:val="none" w:sz="0" w:space="0" w:color="auto"/>
        <w:left w:val="none" w:sz="0" w:space="0" w:color="auto"/>
        <w:bottom w:val="none" w:sz="0" w:space="0" w:color="auto"/>
        <w:right w:val="none" w:sz="0" w:space="0" w:color="auto"/>
      </w:divBdr>
    </w:div>
    <w:div w:id="1843355506">
      <w:bodyDiv w:val="1"/>
      <w:marLeft w:val="0"/>
      <w:marRight w:val="0"/>
      <w:marTop w:val="0"/>
      <w:marBottom w:val="0"/>
      <w:divBdr>
        <w:top w:val="none" w:sz="0" w:space="0" w:color="auto"/>
        <w:left w:val="none" w:sz="0" w:space="0" w:color="auto"/>
        <w:bottom w:val="none" w:sz="0" w:space="0" w:color="auto"/>
        <w:right w:val="none" w:sz="0" w:space="0" w:color="auto"/>
      </w:divBdr>
    </w:div>
    <w:div w:id="1985161475">
      <w:bodyDiv w:val="1"/>
      <w:marLeft w:val="0"/>
      <w:marRight w:val="0"/>
      <w:marTop w:val="0"/>
      <w:marBottom w:val="0"/>
      <w:divBdr>
        <w:top w:val="none" w:sz="0" w:space="0" w:color="auto"/>
        <w:left w:val="none" w:sz="0" w:space="0" w:color="auto"/>
        <w:bottom w:val="none" w:sz="0" w:space="0" w:color="auto"/>
        <w:right w:val="none" w:sz="0" w:space="0" w:color="auto"/>
      </w:divBdr>
    </w:div>
    <w:div w:id="19870807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jpg"/><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1548</TotalTime>
  <Pages>6</Pages>
  <Words>679</Words>
  <Characters>3875</Characters>
  <Application>Microsoft Office Word</Application>
  <DocSecurity>0</DocSecurity>
  <Lines>32</Lines>
  <Paragraphs>9</Paragraphs>
  <ScaleCrop>false</ScaleCrop>
  <Company/>
  <LinksUpToDate>false</LinksUpToDate>
  <CharactersWithSpaces>4545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Abhishek Senapati</dc:creator>
  <cp:keywords/>
  <dc:description/>
  <cp:lastModifiedBy>Abhishek Senapati</cp:lastModifiedBy>
  <cp:revision>142</cp:revision>
  <dcterms:created xsi:type="dcterms:W3CDTF">2024-08-19T10:47:00Z</dcterms:created>
  <dcterms:modified xsi:type="dcterms:W3CDTF">2024-08-30T05:23:00Z</dcterms:modified>
</cp:coreProperties>
</file>