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inzel" w:hAnsi="Cinzel"/>
          <w:b/>
          <w:color w:val="F5D061"/>
          <w:sz w:val="20"/>
        </w:rPr>
        <w:t>IDONEUS SOFTWARE • SISTEMA DE DISEÑO DE ALTA FANTASÍA</w:t>
      </w:r>
    </w:p>
    <w:p>
      <w:pPr>
        <w:spacing w:after="80"/>
        <w:jc w:val="center"/>
      </w:pPr>
      <w:r>
        <w:rPr>
          <w:rFonts w:ascii="Cinzel" w:hAnsi="Cinzel"/>
          <w:b/>
          <w:color w:val="D93829"/>
          <w:sz w:val="52"/>
        </w:rPr>
        <w:t>DUNGEON &amp; DRAGONS COMPANION</w:t>
      </w:r>
    </w:p>
    <w:p>
      <w:pPr>
        <w:spacing w:after="360"/>
        <w:jc w:val="center"/>
      </w:pPr>
      <w:r>
        <w:rPr>
          <w:rFonts w:ascii="EB Garamond" w:hAnsi="EB Garamond"/>
          <w:i/>
          <w:color w:val="A88D6C"/>
          <w:sz w:val="28"/>
        </w:rPr>
        <w:t>Manual Integral de Identidad Visual, Estilo Gráfico y Guía de Contenido</w:t>
      </w:r>
    </w:p>
    <w:p>
      <w:pPr>
        <w:spacing w:after="400"/>
        <w:jc w:val="center"/>
      </w:pPr>
      <w:r>
        <w:rPr>
          <w:rFonts w:ascii="Cinzel" w:hAnsi="Cinzel"/>
          <w:color w:val="F5D061"/>
          <w:sz w:val="22"/>
        </w:rPr>
        <w:t>✦ ━━━━━━━━━━━━━━━━━━━━ ❖ ━━━━━━━━━━━━━━━━━━━━ ✦</w:t>
      </w:r>
    </w:p>
    <w:tbl>
      <w:tblPr>
        <w:tblW w:type="auto" w:w="0"/>
        <w:jc w:val="center"/>
        <w:tblLayout w:type="fixed"/>
        <w:tblLook w:firstColumn="1" w:firstRow="1" w:lastColumn="0" w:lastRow="0" w:noHBand="0" w:noVBand="1" w:val="04A0"/>
      </w:tblPr>
      <w:tblGrid>
        <w:gridCol w:w="9648"/>
      </w:tblGrid>
      <w:tr>
        <w:tc>
          <w:tcPr>
            <w:tcW w:type="dxa" w:w="9360"/>
            <w:shd w:fill="1F1612"/>
            <w:tcMar>
              <w:top w:w="160" w:type="dxa"/>
              <w:bottom w:w="160" w:type="dxa"/>
              <w:left w:w="220" w:type="dxa"/>
              <w:right w:w="200" w:type="dxa"/>
            </w:tcMar>
            <w:tcBorders>
              <w:left w:val="single" w:sz="24" w:space="0" w:color="F5D061"/>
              <w:top w:val="none"/>
              <w:bottom w:val="none"/>
              <w:right w:val="none"/>
            </w:tcBorders>
          </w:tcPr>
          <w:p>
            <w:pPr>
              <w:spacing w:before="0" w:after="60"/>
            </w:pPr>
            <w:r>
              <w:rPr>
                <w:rFonts w:ascii="Cinzel" w:hAnsi="Cinzel"/>
                <w:b/>
                <w:color w:val="F5D061"/>
                <w:sz w:val="20"/>
              </w:rPr>
              <w:t>✦ PROPÓSITO DEL DOCUMENTO Y APLICACIÓN ESTRATÉGICA</w:t>
              <w:br/>
            </w:r>
            <w:r>
              <w:rPr>
                <w:rFonts w:ascii="EB Garamond" w:hAnsi="EB Garamond"/>
                <w:i/>
                <w:color w:val="E8D5B5"/>
                <w:sz w:val="21"/>
              </w:rPr>
              <w:t>Este documento recopila de manera técnica y creativa toda la arquitectura estética de D&amp;D Companion. Su objetivo es servir como referencia definitiva y fuente de verdad para la concepción de logotipos, banners promocionales, piezas publicitarias en redes sociales, miniaturas y activos de marca.</w:t>
            </w:r>
          </w:p>
        </w:tc>
      </w:tr>
    </w:tbl>
    <w:p>
      <w:pPr>
        <w:spacing w:after="120"/>
      </w:pPr>
    </w:p>
    <w:p>
      <w:pPr>
        <w:pStyle w:val="Heading1"/>
        <w:spacing w:before="320" w:after="120"/>
      </w:pPr>
      <w:r>
        <w:rPr>
          <w:rFonts w:ascii="Cinzel" w:hAnsi="Cinzel"/>
          <w:b/>
          <w:color w:val="D93829"/>
          <w:sz w:val="32"/>
        </w:rPr>
        <w:t>1. Concepto Rector &amp; Filosofía Visual</w:t>
      </w:r>
    </w:p>
    <w:p>
      <w:pPr>
        <w:spacing w:after="120" w:line="276" w:lineRule="auto"/>
      </w:pPr>
      <w:r>
        <w:rPr>
          <w:rFonts w:ascii="EB Garamond" w:hAnsi="EB Garamond"/>
          <w:color w:val="281E19"/>
          <w:sz w:val="22"/>
        </w:rPr>
        <w:t xml:space="preserve">El lenguaje gráfico de D&amp;D Companion se fundamenta en el concepto del </w:t>
      </w:r>
      <w:r>
        <w:rPr>
          <w:rFonts w:ascii="EB Garamond" w:hAnsi="EB Garamond"/>
          <w:b/>
          <w:color w:val="B45309"/>
          <w:sz w:val="22"/>
        </w:rPr>
        <w:t>«Grimorio Ancestral Interactivo iluminado por el Fuego»</w:t>
      </w:r>
      <w:r>
        <w:rPr>
          <w:rFonts w:ascii="EB Garamond" w:hAnsi="EB Garamond"/>
          <w:color w:val="281E19"/>
          <w:sz w:val="22"/>
        </w:rPr>
        <w:t>. A diferencia de las interfaces modernas planas, asépticas o hipertecnológicas, la web recrea la atmósfera tangible de una mesa de rol nocturna: cuero curtido, pergamino quemado por el tiempo, tintas doradas iluminadas por velas y chispas mágicas que ascienden hacia la penumbra.</w:t>
      </w:r>
    </w:p>
    <w:p>
      <w:pPr>
        <w:spacing w:after="160"/>
      </w:pPr>
      <w:r>
        <w:rPr>
          <w:rFonts w:ascii="Cinzel" w:hAnsi="Cinzel"/>
          <w:b/>
          <w:color w:val="A88D6C"/>
          <w:sz w:val="22"/>
        </w:rPr>
        <w:t>Pilares Fundamentales de la Marca:</w:t>
      </w:r>
    </w:p>
    <w:p>
      <w:pPr>
        <w:pStyle w:val="ListBullet"/>
        <w:spacing w:after="60"/>
      </w:pPr>
      <w:r>
        <w:rPr>
          <w:rFonts w:ascii="Cinzel" w:hAnsi="Cinzel"/>
          <w:b/>
          <w:color w:val="D93829"/>
          <w:sz w:val="20"/>
        </w:rPr>
        <w:t xml:space="preserve">Misticismo y Alta Fantasía: </w:t>
      </w:r>
      <w:r>
        <w:rPr>
          <w:rFonts w:ascii="EB Garamond" w:hAnsi="EB Garamond"/>
          <w:color w:val="322823"/>
          <w:sz w:val="21"/>
        </w:rPr>
        <w:t>Cada elemento evoca objetos mágicos, reliquias arcanas, runas y grimorios de magos legendarios.</w:t>
      </w:r>
    </w:p>
    <w:p>
      <w:pPr>
        <w:pStyle w:val="ListBullet"/>
        <w:spacing w:after="60"/>
      </w:pPr>
      <w:r>
        <w:rPr>
          <w:rFonts w:ascii="Cinzel" w:hAnsi="Cinzel"/>
          <w:b/>
          <w:color w:val="D93829"/>
          <w:sz w:val="20"/>
        </w:rPr>
        <w:t xml:space="preserve">Materialidad Táctil: </w:t>
      </w:r>
      <w:r>
        <w:rPr>
          <w:rFonts w:ascii="EB Garamond" w:hAnsi="EB Garamond"/>
          <w:color w:val="322823"/>
          <w:sz w:val="21"/>
        </w:rPr>
        <w:t>Uso de texturas orgánicas de ruido fractal (ruido de papel antiguo), viñetas de sombra y envejecimiento perimetral.</w:t>
      </w:r>
    </w:p>
    <w:p>
      <w:pPr>
        <w:pStyle w:val="ListBullet"/>
        <w:spacing w:after="60"/>
      </w:pPr>
      <w:r>
        <w:rPr>
          <w:rFonts w:ascii="Cinzel" w:hAnsi="Cinzel"/>
          <w:b/>
          <w:color w:val="D93829"/>
          <w:sz w:val="20"/>
        </w:rPr>
        <w:t xml:space="preserve">Contraste Cálido/Oscuro: </w:t>
      </w:r>
      <w:r>
        <w:rPr>
          <w:rFonts w:ascii="EB Garamond" w:hAnsi="EB Garamond"/>
          <w:color w:val="322823"/>
          <w:sz w:val="21"/>
        </w:rPr>
        <w:t>Fondos abisales de cuero negro (#000000 y #190f0c) que hacen vibrar el oro radiante (#f5d061) y el rojo ascua (#d93829).</w:t>
      </w:r>
    </w:p>
    <w:p>
      <w:pPr>
        <w:pStyle w:val="ListBullet"/>
        <w:spacing w:after="60"/>
      </w:pPr>
      <w:r>
        <w:rPr>
          <w:rFonts w:ascii="Cinzel" w:hAnsi="Cinzel"/>
          <w:b/>
          <w:color w:val="D93829"/>
          <w:sz w:val="20"/>
        </w:rPr>
        <w:t xml:space="preserve">Soberanía Tipográfica: </w:t>
      </w:r>
      <w:r>
        <w:rPr>
          <w:rFonts w:ascii="EB Garamond" w:hAnsi="EB Garamond"/>
          <w:color w:val="322823"/>
          <w:sz w:val="21"/>
        </w:rPr>
        <w:t>La tipografía romana tallada en piedra (Cinzel) otorga autoridad épica, mientras Garamond aporta elegancia bibliotecaria.</w:t>
      </w:r>
    </w:p>
    <w:p>
      <w:pPr>
        <w:pStyle w:val="Heading1"/>
        <w:spacing w:before="320" w:after="120"/>
      </w:pPr>
      <w:r>
        <w:rPr>
          <w:rFonts w:ascii="Cinzel" w:hAnsi="Cinzel"/>
          <w:b/>
          <w:color w:val="D93829"/>
          <w:sz w:val="32"/>
        </w:rPr>
        <w:t>2. Paleta Cromática Oficial</w:t>
      </w:r>
    </w:p>
    <w:p>
      <w:pPr>
        <w:spacing w:after="160"/>
      </w:pPr>
      <w:r>
        <w:rPr>
          <w:rFonts w:ascii="EB Garamond" w:hAnsi="EB Garamond"/>
          <w:color w:val="281E19"/>
          <w:sz w:val="22"/>
        </w:rPr>
        <w:t>A continuación se detallan los valores cromáticos exactos que componen el diseño de la plataforma. Estas muestras deben utilizarse con rigurosa precisión en software de diseño (Photoshop, Illustrator, Figma, Canva) para mantener coherencia visual entre la web y los materiales de difusión.</w:t>
      </w:r>
    </w:p>
    <w:tbl>
      <w:tblPr>
        <w:tblW w:type="auto" w:w="0"/>
        <w:jc w:val="center"/>
        <w:tblLayout w:type="fixed"/>
        <w:tblLook w:firstColumn="1" w:firstRow="1" w:lastColumn="0" w:lastRow="0" w:noHBand="0" w:noVBand="1" w:val="04A0"/>
        <w:tblBorders>
          <w:top w:val="single" w:sz="6" w:space="0" w:color="D4AF37"/>
          <w:bottom w:val="single" w:sz="6" w:space="0" w:color="D4AF37"/>
          <w:insideH w:val="single" w:sz="6" w:space="0" w:color="D4AF37"/>
          <w:insideV w:val="none"/>
          <w:left w:val="none"/>
          <w:right w:val="none"/>
        </w:tblBorders>
      </w:tblPr>
      <w:tblGrid>
        <w:gridCol w:w="1930"/>
        <w:gridCol w:w="1930"/>
        <w:gridCol w:w="1930"/>
        <w:gridCol w:w="1930"/>
        <w:gridCol w:w="1930"/>
      </w:tblGrid>
      <w:tr>
        <w:tc>
          <w:tcPr>
            <w:tcW w:type="dxa" w:w="2160"/>
            <w:shd w:fill="190F0C"/>
            <w:tcMar>
              <w:top w:w="120" w:type="dxa"/>
              <w:bottom w:w="120" w:type="dxa"/>
              <w:left w:w="100" w:type="dxa"/>
              <w:right w:w="100" w:type="dxa"/>
            </w:tcMar>
          </w:tcPr>
          <w:p>
            <w:r>
              <w:rPr>
                <w:rFonts w:ascii="Cinzel" w:hAnsi="Cinzel"/>
                <w:b/>
                <w:color w:val="F5D061"/>
                <w:sz w:val="18"/>
              </w:rPr>
              <w:t>Nombre del Tono</w:t>
            </w:r>
          </w:p>
        </w:tc>
        <w:tc>
          <w:tcPr>
            <w:tcW w:type="dxa" w:w="1584"/>
            <w:shd w:fill="190F0C"/>
            <w:tcMar>
              <w:top w:w="120" w:type="dxa"/>
              <w:bottom w:w="120" w:type="dxa"/>
              <w:left w:w="100" w:type="dxa"/>
              <w:right w:w="100" w:type="dxa"/>
            </w:tcMar>
          </w:tcPr>
          <w:p>
            <w:r>
              <w:rPr>
                <w:rFonts w:ascii="Cinzel" w:hAnsi="Cinzel"/>
                <w:b/>
                <w:color w:val="F5D061"/>
                <w:sz w:val="18"/>
              </w:rPr>
              <w:t>Hex / CSS</w:t>
            </w:r>
          </w:p>
        </w:tc>
        <w:tc>
          <w:tcPr>
            <w:tcW w:type="dxa" w:w="1584"/>
            <w:shd w:fill="190F0C"/>
            <w:tcMar>
              <w:top w:w="120" w:type="dxa"/>
              <w:bottom w:w="120" w:type="dxa"/>
              <w:left w:w="100" w:type="dxa"/>
              <w:right w:w="100" w:type="dxa"/>
            </w:tcMar>
          </w:tcPr>
          <w:p>
            <w:r>
              <w:rPr>
                <w:rFonts w:ascii="Cinzel" w:hAnsi="Cinzel"/>
                <w:b/>
                <w:color w:val="F5D061"/>
                <w:sz w:val="18"/>
              </w:rPr>
              <w:t>RGB</w:t>
            </w:r>
          </w:p>
        </w:tc>
        <w:tc>
          <w:tcPr>
            <w:tcW w:type="dxa" w:w="1872"/>
            <w:shd w:fill="190F0C"/>
            <w:tcMar>
              <w:top w:w="120" w:type="dxa"/>
              <w:bottom w:w="120" w:type="dxa"/>
              <w:left w:w="100" w:type="dxa"/>
              <w:right w:w="100" w:type="dxa"/>
            </w:tcMar>
          </w:tcPr>
          <w:p>
            <w:r>
              <w:rPr>
                <w:rFonts w:ascii="Cinzel" w:hAnsi="Cinzel"/>
                <w:b/>
                <w:color w:val="F5D061"/>
                <w:sz w:val="18"/>
              </w:rPr>
              <w:t>Tailwind Token</w:t>
            </w:r>
          </w:p>
        </w:tc>
        <w:tc>
          <w:tcPr>
            <w:tcW w:type="dxa" w:w="2448"/>
            <w:shd w:fill="190F0C"/>
            <w:tcMar>
              <w:top w:w="120" w:type="dxa"/>
              <w:bottom w:w="120" w:type="dxa"/>
              <w:left w:w="100" w:type="dxa"/>
              <w:right w:w="100" w:type="dxa"/>
            </w:tcMar>
          </w:tcPr>
          <w:p>
            <w:r>
              <w:rPr>
                <w:rFonts w:ascii="Cinzel" w:hAnsi="Cinzel"/>
                <w:b/>
                <w:color w:val="F5D061"/>
                <w:sz w:val="18"/>
              </w:rPr>
              <w:t>Función Semántica</w:t>
            </w:r>
          </w:p>
        </w:tc>
      </w:tr>
      <w:tr>
        <w:tc>
          <w:tcPr>
            <w:tcW w:type="dxa" w:w="2160"/>
            <w:shd w:fill="FDFBF7"/>
            <w:tcMar>
              <w:top w:w="80" w:type="dxa"/>
              <w:bottom w:w="80" w:type="dxa"/>
              <w:left w:w="80" w:type="dxa"/>
              <w:right w:w="80" w:type="dxa"/>
            </w:tcMar>
          </w:tcPr>
          <w:p>
            <w:r>
              <w:rPr>
                <w:rFonts w:ascii="Cinzel" w:hAnsi="Cinzel"/>
                <w:b/>
                <w:color w:val="1E1914"/>
                <w:sz w:val="19"/>
              </w:rPr>
              <w:t>Oro Mágico (Radiant Gold)</w:t>
            </w:r>
          </w:p>
        </w:tc>
        <w:tc>
          <w:tcPr>
            <w:tcW w:type="dxa" w:w="1584"/>
            <w:shd w:fill="FDFBF7"/>
            <w:tcMar>
              <w:top w:w="80" w:type="dxa"/>
              <w:bottom w:w="80" w:type="dxa"/>
              <w:left w:w="80" w:type="dxa"/>
              <w:right w:w="80" w:type="dxa"/>
            </w:tcMar>
          </w:tcPr>
          <w:p>
            <w:r>
              <w:rPr>
                <w:rFonts w:ascii="Courier New" w:hAnsi="Courier New"/>
                <w:color w:val="1E1914"/>
                <w:sz w:val="17"/>
              </w:rPr>
              <w:t>#f5d061</w:t>
            </w:r>
          </w:p>
        </w:tc>
        <w:tc>
          <w:tcPr>
            <w:tcW w:type="dxa" w:w="1584"/>
            <w:shd w:fill="FDFBF7"/>
            <w:tcMar>
              <w:top w:w="80" w:type="dxa"/>
              <w:bottom w:w="80" w:type="dxa"/>
              <w:left w:w="80" w:type="dxa"/>
              <w:right w:w="80" w:type="dxa"/>
            </w:tcMar>
          </w:tcPr>
          <w:p>
            <w:r>
              <w:rPr>
                <w:rFonts w:ascii="EB Garamond" w:hAnsi="EB Garamond"/>
                <w:color w:val="1E1914"/>
                <w:sz w:val="19"/>
              </w:rPr>
              <w:t>245, 208, 97</w:t>
            </w:r>
          </w:p>
        </w:tc>
        <w:tc>
          <w:tcPr>
            <w:tcW w:type="dxa" w:w="1872"/>
            <w:shd w:fill="FDFBF7"/>
            <w:tcMar>
              <w:top w:w="80" w:type="dxa"/>
              <w:bottom w:w="80" w:type="dxa"/>
              <w:left w:w="80" w:type="dxa"/>
              <w:right w:w="80" w:type="dxa"/>
            </w:tcMar>
          </w:tcPr>
          <w:p>
            <w:r>
              <w:rPr>
                <w:rFonts w:ascii="Courier New" w:hAnsi="Courier New"/>
                <w:color w:val="1E1914"/>
                <w:sz w:val="17"/>
              </w:rPr>
              <w:t>magic-gold</w:t>
            </w:r>
          </w:p>
        </w:tc>
        <w:tc>
          <w:tcPr>
            <w:tcW w:type="dxa" w:w="2448"/>
            <w:shd w:fill="FDFBF7"/>
            <w:tcMar>
              <w:top w:w="80" w:type="dxa"/>
              <w:bottom w:w="80" w:type="dxa"/>
              <w:left w:w="80" w:type="dxa"/>
              <w:right w:w="80" w:type="dxa"/>
            </w:tcMar>
          </w:tcPr>
          <w:p>
            <w:r>
              <w:rPr>
                <w:rFonts w:ascii="EB Garamond" w:hAnsi="EB Garamond"/>
                <w:color w:val="1E1914"/>
                <w:sz w:val="19"/>
              </w:rPr>
              <w:t>Acentos primarios, bordes destacados, botones CTA, estrellas de éxito</w:t>
            </w:r>
          </w:p>
        </w:tc>
      </w:tr>
      <w:tr>
        <w:tc>
          <w:tcPr>
            <w:tcW w:type="dxa" w:w="2160"/>
            <w:shd w:fill="F4EFE6"/>
            <w:tcMar>
              <w:top w:w="80" w:type="dxa"/>
              <w:bottom w:w="80" w:type="dxa"/>
              <w:left w:w="80" w:type="dxa"/>
              <w:right w:w="80" w:type="dxa"/>
            </w:tcMar>
          </w:tcPr>
          <w:p>
            <w:r>
              <w:rPr>
                <w:rFonts w:ascii="Cinzel" w:hAnsi="Cinzel"/>
                <w:b/>
                <w:color w:val="1E1914"/>
                <w:sz w:val="19"/>
              </w:rPr>
              <w:t>Rojo Ascua (Ember Crimson)</w:t>
            </w:r>
          </w:p>
        </w:tc>
        <w:tc>
          <w:tcPr>
            <w:tcW w:type="dxa" w:w="1584"/>
            <w:shd w:fill="F4EFE6"/>
            <w:tcMar>
              <w:top w:w="80" w:type="dxa"/>
              <w:bottom w:w="80" w:type="dxa"/>
              <w:left w:w="80" w:type="dxa"/>
              <w:right w:w="80" w:type="dxa"/>
            </w:tcMar>
          </w:tcPr>
          <w:p>
            <w:r>
              <w:rPr>
                <w:rFonts w:ascii="Courier New" w:hAnsi="Courier New"/>
                <w:color w:val="1E1914"/>
                <w:sz w:val="17"/>
              </w:rPr>
              <w:t>#d93829</w:t>
            </w:r>
          </w:p>
        </w:tc>
        <w:tc>
          <w:tcPr>
            <w:tcW w:type="dxa" w:w="1584"/>
            <w:shd w:fill="F4EFE6"/>
            <w:tcMar>
              <w:top w:w="80" w:type="dxa"/>
              <w:bottom w:w="80" w:type="dxa"/>
              <w:left w:w="80" w:type="dxa"/>
              <w:right w:w="80" w:type="dxa"/>
            </w:tcMar>
          </w:tcPr>
          <w:p>
            <w:r>
              <w:rPr>
                <w:rFonts w:ascii="EB Garamond" w:hAnsi="EB Garamond"/>
                <w:color w:val="1E1914"/>
                <w:sz w:val="19"/>
              </w:rPr>
              <w:t>217, 56, 41</w:t>
            </w:r>
          </w:p>
        </w:tc>
        <w:tc>
          <w:tcPr>
            <w:tcW w:type="dxa" w:w="1872"/>
            <w:shd w:fill="F4EFE6"/>
            <w:tcMar>
              <w:top w:w="80" w:type="dxa"/>
              <w:bottom w:w="80" w:type="dxa"/>
              <w:left w:w="80" w:type="dxa"/>
              <w:right w:w="80" w:type="dxa"/>
            </w:tcMar>
          </w:tcPr>
          <w:p>
            <w:r>
              <w:rPr>
                <w:rFonts w:ascii="Courier New" w:hAnsi="Courier New"/>
                <w:color w:val="1E1914"/>
                <w:sz w:val="17"/>
              </w:rPr>
              <w:t>magic-red</w:t>
            </w:r>
          </w:p>
        </w:tc>
        <w:tc>
          <w:tcPr>
            <w:tcW w:type="dxa" w:w="2448"/>
            <w:shd w:fill="F4EFE6"/>
            <w:tcMar>
              <w:top w:w="80" w:type="dxa"/>
              <w:bottom w:w="80" w:type="dxa"/>
              <w:left w:w="80" w:type="dxa"/>
              <w:right w:w="80" w:type="dxa"/>
            </w:tcMar>
          </w:tcPr>
          <w:p>
            <w:r>
              <w:rPr>
                <w:rFonts w:ascii="EB Garamond" w:hAnsi="EB Garamond"/>
                <w:color w:val="1E1914"/>
                <w:sz w:val="19"/>
              </w:rPr>
              <w:t>Título heroico 'D&amp;D', vida crítica (HP bajo), daño y alertas de combate</w:t>
            </w:r>
          </w:p>
        </w:tc>
      </w:tr>
      <w:tr>
        <w:tc>
          <w:tcPr>
            <w:tcW w:type="dxa" w:w="2160"/>
            <w:shd w:fill="FDFBF7"/>
            <w:tcMar>
              <w:top w:w="80" w:type="dxa"/>
              <w:bottom w:w="80" w:type="dxa"/>
              <w:left w:w="80" w:type="dxa"/>
              <w:right w:w="80" w:type="dxa"/>
            </w:tcMar>
          </w:tcPr>
          <w:p>
            <w:r>
              <w:rPr>
                <w:rFonts w:ascii="Cinzel" w:hAnsi="Cinzel"/>
                <w:b/>
                <w:color w:val="1E1914"/>
                <w:sz w:val="19"/>
              </w:rPr>
              <w:t>Tinta Pergamino (Illuminated Ink)</w:t>
            </w:r>
          </w:p>
        </w:tc>
        <w:tc>
          <w:tcPr>
            <w:tcW w:type="dxa" w:w="1584"/>
            <w:shd w:fill="FDFBF7"/>
            <w:tcMar>
              <w:top w:w="80" w:type="dxa"/>
              <w:bottom w:w="80" w:type="dxa"/>
              <w:left w:w="80" w:type="dxa"/>
              <w:right w:w="80" w:type="dxa"/>
            </w:tcMar>
          </w:tcPr>
          <w:p>
            <w:r>
              <w:rPr>
                <w:rFonts w:ascii="Courier New" w:hAnsi="Courier New"/>
                <w:color w:val="1E1914"/>
                <w:sz w:val="17"/>
              </w:rPr>
              <w:t>#e8d5b5</w:t>
            </w:r>
          </w:p>
        </w:tc>
        <w:tc>
          <w:tcPr>
            <w:tcW w:type="dxa" w:w="1584"/>
            <w:shd w:fill="FDFBF7"/>
            <w:tcMar>
              <w:top w:w="80" w:type="dxa"/>
              <w:bottom w:w="80" w:type="dxa"/>
              <w:left w:w="80" w:type="dxa"/>
              <w:right w:w="80" w:type="dxa"/>
            </w:tcMar>
          </w:tcPr>
          <w:p>
            <w:r>
              <w:rPr>
                <w:rFonts w:ascii="EB Garamond" w:hAnsi="EB Garamond"/>
                <w:color w:val="1E1914"/>
                <w:sz w:val="19"/>
              </w:rPr>
              <w:t>232, 213, 181</w:t>
            </w:r>
          </w:p>
        </w:tc>
        <w:tc>
          <w:tcPr>
            <w:tcW w:type="dxa" w:w="1872"/>
            <w:shd w:fill="FDFBF7"/>
            <w:tcMar>
              <w:top w:w="80" w:type="dxa"/>
              <w:bottom w:w="80" w:type="dxa"/>
              <w:left w:w="80" w:type="dxa"/>
              <w:right w:w="80" w:type="dxa"/>
            </w:tcMar>
          </w:tcPr>
          <w:p>
            <w:r>
              <w:rPr>
                <w:rFonts w:ascii="Courier New" w:hAnsi="Courier New"/>
                <w:color w:val="1E1914"/>
                <w:sz w:val="17"/>
              </w:rPr>
              <w:t>ink</w:t>
            </w:r>
          </w:p>
        </w:tc>
        <w:tc>
          <w:tcPr>
            <w:tcW w:type="dxa" w:w="2448"/>
            <w:shd w:fill="FDFBF7"/>
            <w:tcMar>
              <w:top w:w="80" w:type="dxa"/>
              <w:bottom w:w="80" w:type="dxa"/>
              <w:left w:w="80" w:type="dxa"/>
              <w:right w:w="80" w:type="dxa"/>
            </w:tcMar>
          </w:tcPr>
          <w:p>
            <w:r>
              <w:rPr>
                <w:rFonts w:ascii="EB Garamond" w:hAnsi="EB Garamond"/>
                <w:color w:val="1E1914"/>
                <w:sz w:val="19"/>
              </w:rPr>
              <w:t>Texto principal de lectura, contraste legible sobre fondos oscuros</w:t>
            </w:r>
          </w:p>
        </w:tc>
      </w:tr>
      <w:tr>
        <w:tc>
          <w:tcPr>
            <w:tcW w:type="dxa" w:w="2160"/>
            <w:shd w:fill="F4EFE6"/>
            <w:tcMar>
              <w:top w:w="80" w:type="dxa"/>
              <w:bottom w:w="80" w:type="dxa"/>
              <w:left w:w="80" w:type="dxa"/>
              <w:right w:w="80" w:type="dxa"/>
            </w:tcMar>
          </w:tcPr>
          <w:p>
            <w:r>
              <w:rPr>
                <w:rFonts w:ascii="Cinzel" w:hAnsi="Cinzel"/>
                <w:b/>
                <w:color w:val="1E1914"/>
                <w:sz w:val="19"/>
              </w:rPr>
              <w:t>Tinta Envejecida (Antique Bronze)</w:t>
            </w:r>
          </w:p>
        </w:tc>
        <w:tc>
          <w:tcPr>
            <w:tcW w:type="dxa" w:w="1584"/>
            <w:shd w:fill="F4EFE6"/>
            <w:tcMar>
              <w:top w:w="80" w:type="dxa"/>
              <w:bottom w:w="80" w:type="dxa"/>
              <w:left w:w="80" w:type="dxa"/>
              <w:right w:w="80" w:type="dxa"/>
            </w:tcMar>
          </w:tcPr>
          <w:p>
            <w:r>
              <w:rPr>
                <w:rFonts w:ascii="Courier New" w:hAnsi="Courier New"/>
                <w:color w:val="1E1914"/>
                <w:sz w:val="17"/>
              </w:rPr>
              <w:t>#a88d6c</w:t>
            </w:r>
          </w:p>
        </w:tc>
        <w:tc>
          <w:tcPr>
            <w:tcW w:type="dxa" w:w="1584"/>
            <w:shd w:fill="F4EFE6"/>
            <w:tcMar>
              <w:top w:w="80" w:type="dxa"/>
              <w:bottom w:w="80" w:type="dxa"/>
              <w:left w:w="80" w:type="dxa"/>
              <w:right w:w="80" w:type="dxa"/>
            </w:tcMar>
          </w:tcPr>
          <w:p>
            <w:r>
              <w:rPr>
                <w:rFonts w:ascii="EB Garamond" w:hAnsi="EB Garamond"/>
                <w:color w:val="1E1914"/>
                <w:sz w:val="19"/>
              </w:rPr>
              <w:t>168, 141, 108</w:t>
            </w:r>
          </w:p>
        </w:tc>
        <w:tc>
          <w:tcPr>
            <w:tcW w:type="dxa" w:w="1872"/>
            <w:shd w:fill="F4EFE6"/>
            <w:tcMar>
              <w:top w:w="80" w:type="dxa"/>
              <w:bottom w:w="80" w:type="dxa"/>
              <w:left w:w="80" w:type="dxa"/>
              <w:right w:w="80" w:type="dxa"/>
            </w:tcMar>
          </w:tcPr>
          <w:p>
            <w:r>
              <w:rPr>
                <w:rFonts w:ascii="Courier New" w:hAnsi="Courier New"/>
                <w:color w:val="1E1914"/>
                <w:sz w:val="17"/>
              </w:rPr>
              <w:t>ink-light</w:t>
            </w:r>
          </w:p>
        </w:tc>
        <w:tc>
          <w:tcPr>
            <w:tcW w:type="dxa" w:w="2448"/>
            <w:shd w:fill="F4EFE6"/>
            <w:tcMar>
              <w:top w:w="80" w:type="dxa"/>
              <w:bottom w:w="80" w:type="dxa"/>
              <w:left w:w="80" w:type="dxa"/>
              <w:right w:w="80" w:type="dxa"/>
            </w:tcMar>
          </w:tcPr>
          <w:p>
            <w:r>
              <w:rPr>
                <w:rFonts w:ascii="EB Garamond" w:hAnsi="EB Garamond"/>
                <w:color w:val="1E1914"/>
                <w:sz w:val="19"/>
              </w:rPr>
              <w:t>Subtítulos, nombres de DM, metadatos y notas al pie</w:t>
            </w:r>
          </w:p>
        </w:tc>
      </w:tr>
      <w:tr>
        <w:tc>
          <w:tcPr>
            <w:tcW w:type="dxa" w:w="2160"/>
            <w:shd w:fill="FDFBF7"/>
            <w:tcMar>
              <w:top w:w="80" w:type="dxa"/>
              <w:bottom w:w="80" w:type="dxa"/>
              <w:left w:w="80" w:type="dxa"/>
              <w:right w:w="80" w:type="dxa"/>
            </w:tcMar>
          </w:tcPr>
          <w:p>
            <w:r>
              <w:rPr>
                <w:rFonts w:ascii="Cinzel" w:hAnsi="Cinzel"/>
                <w:b/>
                <w:color w:val="1E1914"/>
                <w:sz w:val="19"/>
              </w:rPr>
              <w:t>Cuero Pergamino (Base Panel)</w:t>
            </w:r>
          </w:p>
        </w:tc>
        <w:tc>
          <w:tcPr>
            <w:tcW w:type="dxa" w:w="1584"/>
            <w:shd w:fill="FDFBF7"/>
            <w:tcMar>
              <w:top w:w="80" w:type="dxa"/>
              <w:bottom w:w="80" w:type="dxa"/>
              <w:left w:w="80" w:type="dxa"/>
              <w:right w:w="80" w:type="dxa"/>
            </w:tcMar>
          </w:tcPr>
          <w:p>
            <w:r>
              <w:rPr>
                <w:rFonts w:ascii="Courier New" w:hAnsi="Courier New"/>
                <w:color w:val="1E1914"/>
                <w:sz w:val="17"/>
              </w:rPr>
              <w:t>#2c1e18 / 85%</w:t>
            </w:r>
          </w:p>
        </w:tc>
        <w:tc>
          <w:tcPr>
            <w:tcW w:type="dxa" w:w="1584"/>
            <w:shd w:fill="FDFBF7"/>
            <w:tcMar>
              <w:top w:w="80" w:type="dxa"/>
              <w:bottom w:w="80" w:type="dxa"/>
              <w:left w:w="80" w:type="dxa"/>
              <w:right w:w="80" w:type="dxa"/>
            </w:tcMar>
          </w:tcPr>
          <w:p>
            <w:r>
              <w:rPr>
                <w:rFonts w:ascii="EB Garamond" w:hAnsi="EB Garamond"/>
                <w:color w:val="1E1914"/>
                <w:sz w:val="19"/>
              </w:rPr>
              <w:t>44, 30, 24</w:t>
            </w:r>
          </w:p>
        </w:tc>
        <w:tc>
          <w:tcPr>
            <w:tcW w:type="dxa" w:w="1872"/>
            <w:shd w:fill="FDFBF7"/>
            <w:tcMar>
              <w:top w:w="80" w:type="dxa"/>
              <w:bottom w:w="80" w:type="dxa"/>
              <w:left w:w="80" w:type="dxa"/>
              <w:right w:w="80" w:type="dxa"/>
            </w:tcMar>
          </w:tcPr>
          <w:p>
            <w:r>
              <w:rPr>
                <w:rFonts w:ascii="Courier New" w:hAnsi="Courier New"/>
                <w:color w:val="1E1914"/>
                <w:sz w:val="17"/>
              </w:rPr>
              <w:t>parchment</w:t>
            </w:r>
          </w:p>
        </w:tc>
        <w:tc>
          <w:tcPr>
            <w:tcW w:type="dxa" w:w="2448"/>
            <w:shd w:fill="FDFBF7"/>
            <w:tcMar>
              <w:top w:w="80" w:type="dxa"/>
              <w:bottom w:w="80" w:type="dxa"/>
              <w:left w:w="80" w:type="dxa"/>
              <w:right w:w="80" w:type="dxa"/>
            </w:tcMar>
          </w:tcPr>
          <w:p>
            <w:r>
              <w:rPr>
                <w:rFonts w:ascii="EB Garamond" w:hAnsi="EB Garamond"/>
                <w:color w:val="1E1914"/>
                <w:sz w:val="19"/>
              </w:rPr>
              <w:t>Superficie de tarjetas, modales, hojas flotantes de personaje</w:t>
            </w:r>
          </w:p>
        </w:tc>
      </w:tr>
      <w:tr>
        <w:tc>
          <w:tcPr>
            <w:tcW w:type="dxa" w:w="2160"/>
            <w:shd w:fill="F4EFE6"/>
            <w:tcMar>
              <w:top w:w="80" w:type="dxa"/>
              <w:bottom w:w="80" w:type="dxa"/>
              <w:left w:w="80" w:type="dxa"/>
              <w:right w:w="80" w:type="dxa"/>
            </w:tcMar>
          </w:tcPr>
          <w:p>
            <w:r>
              <w:rPr>
                <w:rFonts w:ascii="Cinzel" w:hAnsi="Cinzel"/>
                <w:b/>
                <w:color w:val="1E1914"/>
                <w:sz w:val="19"/>
              </w:rPr>
              <w:t>Pergamino Profundo (Deep Parchment)</w:t>
            </w:r>
          </w:p>
        </w:tc>
        <w:tc>
          <w:tcPr>
            <w:tcW w:type="dxa" w:w="1584"/>
            <w:shd w:fill="F4EFE6"/>
            <w:tcMar>
              <w:top w:w="80" w:type="dxa"/>
              <w:bottom w:w="80" w:type="dxa"/>
              <w:left w:w="80" w:type="dxa"/>
              <w:right w:w="80" w:type="dxa"/>
            </w:tcMar>
          </w:tcPr>
          <w:p>
            <w:r>
              <w:rPr>
                <w:rFonts w:ascii="Courier New" w:hAnsi="Courier New"/>
                <w:color w:val="1E1914"/>
                <w:sz w:val="17"/>
              </w:rPr>
              <w:t>#190f0c / 90%</w:t>
            </w:r>
          </w:p>
        </w:tc>
        <w:tc>
          <w:tcPr>
            <w:tcW w:type="dxa" w:w="1584"/>
            <w:shd w:fill="F4EFE6"/>
            <w:tcMar>
              <w:top w:w="80" w:type="dxa"/>
              <w:bottom w:w="80" w:type="dxa"/>
              <w:left w:w="80" w:type="dxa"/>
              <w:right w:w="80" w:type="dxa"/>
            </w:tcMar>
          </w:tcPr>
          <w:p>
            <w:r>
              <w:rPr>
                <w:rFonts w:ascii="EB Garamond" w:hAnsi="EB Garamond"/>
                <w:color w:val="1E1914"/>
                <w:sz w:val="19"/>
              </w:rPr>
              <w:t>25, 15, 12</w:t>
            </w:r>
          </w:p>
        </w:tc>
        <w:tc>
          <w:tcPr>
            <w:tcW w:type="dxa" w:w="1872"/>
            <w:shd w:fill="F4EFE6"/>
            <w:tcMar>
              <w:top w:w="80" w:type="dxa"/>
              <w:bottom w:w="80" w:type="dxa"/>
              <w:left w:w="80" w:type="dxa"/>
              <w:right w:w="80" w:type="dxa"/>
            </w:tcMar>
          </w:tcPr>
          <w:p>
            <w:r>
              <w:rPr>
                <w:rFonts w:ascii="Courier New" w:hAnsi="Courier New"/>
                <w:color w:val="1E1914"/>
                <w:sz w:val="17"/>
              </w:rPr>
              <w:t>parchment-dark</w:t>
            </w:r>
          </w:p>
        </w:tc>
        <w:tc>
          <w:tcPr>
            <w:tcW w:type="dxa" w:w="2448"/>
            <w:shd w:fill="F4EFE6"/>
            <w:tcMar>
              <w:top w:w="80" w:type="dxa"/>
              <w:bottom w:w="80" w:type="dxa"/>
              <w:left w:w="80" w:type="dxa"/>
              <w:right w:w="80" w:type="dxa"/>
            </w:tcMar>
          </w:tcPr>
          <w:p>
            <w:r>
              <w:rPr>
                <w:rFonts w:ascii="EB Garamond" w:hAnsi="EB Garamond"/>
                <w:color w:val="1E1914"/>
                <w:sz w:val="19"/>
              </w:rPr>
              <w:t>Fondo de contenedores, footer, selector de salas, avisos centrales</w:t>
            </w:r>
          </w:p>
        </w:tc>
      </w:tr>
      <w:tr>
        <w:tc>
          <w:tcPr>
            <w:tcW w:type="dxa" w:w="2160"/>
            <w:shd w:fill="FDFBF7"/>
            <w:tcMar>
              <w:top w:w="80" w:type="dxa"/>
              <w:bottom w:w="80" w:type="dxa"/>
              <w:left w:w="80" w:type="dxa"/>
              <w:right w:w="80" w:type="dxa"/>
            </w:tcMar>
          </w:tcPr>
          <w:p>
            <w:r>
              <w:rPr>
                <w:rFonts w:ascii="Cinzel" w:hAnsi="Cinzel"/>
                <w:b/>
                <w:color w:val="1E1914"/>
                <w:sz w:val="19"/>
              </w:rPr>
              <w:t>Negro Carbón (Abyssal Black)</w:t>
            </w:r>
          </w:p>
        </w:tc>
        <w:tc>
          <w:tcPr>
            <w:tcW w:type="dxa" w:w="1584"/>
            <w:shd w:fill="FDFBF7"/>
            <w:tcMar>
              <w:top w:w="80" w:type="dxa"/>
              <w:bottom w:w="80" w:type="dxa"/>
              <w:left w:w="80" w:type="dxa"/>
              <w:right w:w="80" w:type="dxa"/>
            </w:tcMar>
          </w:tcPr>
          <w:p>
            <w:r>
              <w:rPr>
                <w:rFonts w:ascii="Courier New" w:hAnsi="Courier New"/>
                <w:color w:val="1E1914"/>
                <w:sz w:val="17"/>
              </w:rPr>
              <w:t>#000000</w:t>
            </w:r>
          </w:p>
        </w:tc>
        <w:tc>
          <w:tcPr>
            <w:tcW w:type="dxa" w:w="1584"/>
            <w:shd w:fill="FDFBF7"/>
            <w:tcMar>
              <w:top w:w="80" w:type="dxa"/>
              <w:bottom w:w="80" w:type="dxa"/>
              <w:left w:w="80" w:type="dxa"/>
              <w:right w:w="80" w:type="dxa"/>
            </w:tcMar>
          </w:tcPr>
          <w:p>
            <w:r>
              <w:rPr>
                <w:rFonts w:ascii="EB Garamond" w:hAnsi="EB Garamond"/>
                <w:color w:val="1E1914"/>
                <w:sz w:val="19"/>
              </w:rPr>
              <w:t>0, 0, 0</w:t>
            </w:r>
          </w:p>
        </w:tc>
        <w:tc>
          <w:tcPr>
            <w:tcW w:type="dxa" w:w="1872"/>
            <w:shd w:fill="FDFBF7"/>
            <w:tcMar>
              <w:top w:w="80" w:type="dxa"/>
              <w:bottom w:w="80" w:type="dxa"/>
              <w:left w:w="80" w:type="dxa"/>
              <w:right w:w="80" w:type="dxa"/>
            </w:tcMar>
          </w:tcPr>
          <w:p>
            <w:r>
              <w:rPr>
                <w:rFonts w:ascii="Courier New" w:hAnsi="Courier New"/>
                <w:color w:val="1E1914"/>
                <w:sz w:val="17"/>
              </w:rPr>
              <w:t>background</w:t>
            </w:r>
          </w:p>
        </w:tc>
        <w:tc>
          <w:tcPr>
            <w:tcW w:type="dxa" w:w="2448"/>
            <w:shd w:fill="FDFBF7"/>
            <w:tcMar>
              <w:top w:w="80" w:type="dxa"/>
              <w:bottom w:w="80" w:type="dxa"/>
              <w:left w:w="80" w:type="dxa"/>
              <w:right w:w="80" w:type="dxa"/>
            </w:tcMar>
          </w:tcPr>
          <w:p>
            <w:r>
              <w:rPr>
                <w:rFonts w:ascii="EB Garamond" w:hAnsi="EB Garamond"/>
                <w:color w:val="1E1914"/>
                <w:sz w:val="19"/>
              </w:rPr>
              <w:t>Lienzo de fondo profundo combinado con la textura rústica bg.jpg</w:t>
            </w:r>
          </w:p>
        </w:tc>
      </w:tr>
      <w:tr>
        <w:tc>
          <w:tcPr>
            <w:tcW w:type="dxa" w:w="2160"/>
            <w:shd w:fill="F4EFE6"/>
            <w:tcMar>
              <w:top w:w="80" w:type="dxa"/>
              <w:bottom w:w="80" w:type="dxa"/>
              <w:left w:w="80" w:type="dxa"/>
              <w:right w:w="80" w:type="dxa"/>
            </w:tcMar>
          </w:tcPr>
          <w:p>
            <w:r>
              <w:rPr>
                <w:rFonts w:ascii="Cinzel" w:hAnsi="Cinzel"/>
                <w:b/>
                <w:color w:val="1E1914"/>
                <w:sz w:val="19"/>
              </w:rPr>
              <w:t>Magia Arcana (Astral Violet)</w:t>
            </w:r>
          </w:p>
        </w:tc>
        <w:tc>
          <w:tcPr>
            <w:tcW w:type="dxa" w:w="1584"/>
            <w:shd w:fill="F4EFE6"/>
            <w:tcMar>
              <w:top w:w="80" w:type="dxa"/>
              <w:bottom w:w="80" w:type="dxa"/>
              <w:left w:w="80" w:type="dxa"/>
              <w:right w:w="80" w:type="dxa"/>
            </w:tcMar>
          </w:tcPr>
          <w:p>
            <w:r>
              <w:rPr>
                <w:rFonts w:ascii="Courier New" w:hAnsi="Courier New"/>
                <w:color w:val="1E1914"/>
                <w:sz w:val="17"/>
              </w:rPr>
              <w:t>#c084fc</w:t>
            </w:r>
          </w:p>
        </w:tc>
        <w:tc>
          <w:tcPr>
            <w:tcW w:type="dxa" w:w="1584"/>
            <w:shd w:fill="F4EFE6"/>
            <w:tcMar>
              <w:top w:w="80" w:type="dxa"/>
              <w:bottom w:w="80" w:type="dxa"/>
              <w:left w:w="80" w:type="dxa"/>
              <w:right w:w="80" w:type="dxa"/>
            </w:tcMar>
          </w:tcPr>
          <w:p>
            <w:r>
              <w:rPr>
                <w:rFonts w:ascii="EB Garamond" w:hAnsi="EB Garamond"/>
                <w:color w:val="1E1914"/>
                <w:sz w:val="19"/>
              </w:rPr>
              <w:t>192, 132, 252</w:t>
            </w:r>
          </w:p>
        </w:tc>
        <w:tc>
          <w:tcPr>
            <w:tcW w:type="dxa" w:w="1872"/>
            <w:shd w:fill="F4EFE6"/>
            <w:tcMar>
              <w:top w:w="80" w:type="dxa"/>
              <w:bottom w:w="80" w:type="dxa"/>
              <w:left w:w="80" w:type="dxa"/>
              <w:right w:w="80" w:type="dxa"/>
            </w:tcMar>
          </w:tcPr>
          <w:p>
            <w:r>
              <w:rPr>
                <w:rFonts w:ascii="Courier New" w:hAnsi="Courier New"/>
                <w:color w:val="1E1914"/>
                <w:sz w:val="17"/>
              </w:rPr>
              <w:t>purple-400</w:t>
            </w:r>
          </w:p>
        </w:tc>
        <w:tc>
          <w:tcPr>
            <w:tcW w:type="dxa" w:w="2448"/>
            <w:shd w:fill="F4EFE6"/>
            <w:tcMar>
              <w:top w:w="80" w:type="dxa"/>
              <w:bottom w:w="80" w:type="dxa"/>
              <w:left w:w="80" w:type="dxa"/>
              <w:right w:w="80" w:type="dxa"/>
            </w:tcMar>
          </w:tcPr>
          <w:p>
            <w:r>
              <w:rPr>
                <w:rFonts w:ascii="EB Garamond" w:hAnsi="EB Garamond"/>
                <w:color w:val="1E1914"/>
                <w:sz w:val="19"/>
              </w:rPr>
              <w:t>Slots de hechizos arcanos, insignias de gremios hermanos y hechicería</w:t>
            </w:r>
          </w:p>
        </w:tc>
      </w:tr>
      <w:tr>
        <w:tc>
          <w:tcPr>
            <w:tcW w:type="dxa" w:w="2160"/>
            <w:shd w:fill="FDFBF7"/>
            <w:tcMar>
              <w:top w:w="80" w:type="dxa"/>
              <w:bottom w:w="80" w:type="dxa"/>
              <w:left w:w="80" w:type="dxa"/>
              <w:right w:w="80" w:type="dxa"/>
            </w:tcMar>
          </w:tcPr>
          <w:p>
            <w:r>
              <w:rPr>
                <w:rFonts w:ascii="Cinzel" w:hAnsi="Cinzel"/>
                <w:b/>
                <w:color w:val="1E1914"/>
                <w:sz w:val="19"/>
              </w:rPr>
              <w:t>Esmeralda Éxito (Vital Green)</w:t>
            </w:r>
          </w:p>
        </w:tc>
        <w:tc>
          <w:tcPr>
            <w:tcW w:type="dxa" w:w="1584"/>
            <w:shd w:fill="FDFBF7"/>
            <w:tcMar>
              <w:top w:w="80" w:type="dxa"/>
              <w:bottom w:w="80" w:type="dxa"/>
              <w:left w:w="80" w:type="dxa"/>
              <w:right w:w="80" w:type="dxa"/>
            </w:tcMar>
          </w:tcPr>
          <w:p>
            <w:r>
              <w:rPr>
                <w:rFonts w:ascii="Courier New" w:hAnsi="Courier New"/>
                <w:color w:val="1E1914"/>
                <w:sz w:val="17"/>
              </w:rPr>
              <w:t>#10b981</w:t>
            </w:r>
          </w:p>
        </w:tc>
        <w:tc>
          <w:tcPr>
            <w:tcW w:type="dxa" w:w="1584"/>
            <w:shd w:fill="FDFBF7"/>
            <w:tcMar>
              <w:top w:w="80" w:type="dxa"/>
              <w:bottom w:w="80" w:type="dxa"/>
              <w:left w:w="80" w:type="dxa"/>
              <w:right w:w="80" w:type="dxa"/>
            </w:tcMar>
          </w:tcPr>
          <w:p>
            <w:r>
              <w:rPr>
                <w:rFonts w:ascii="EB Garamond" w:hAnsi="EB Garamond"/>
                <w:color w:val="1E1914"/>
                <w:sz w:val="19"/>
              </w:rPr>
              <w:t>16, 185, 129</w:t>
            </w:r>
          </w:p>
        </w:tc>
        <w:tc>
          <w:tcPr>
            <w:tcW w:type="dxa" w:w="1872"/>
            <w:shd w:fill="FDFBF7"/>
            <w:tcMar>
              <w:top w:w="80" w:type="dxa"/>
              <w:bottom w:w="80" w:type="dxa"/>
              <w:left w:w="80" w:type="dxa"/>
              <w:right w:w="80" w:type="dxa"/>
            </w:tcMar>
          </w:tcPr>
          <w:p>
            <w:r>
              <w:rPr>
                <w:rFonts w:ascii="Courier New" w:hAnsi="Courier New"/>
                <w:color w:val="1E1914"/>
                <w:sz w:val="17"/>
              </w:rPr>
              <w:t>emerald-500</w:t>
            </w:r>
          </w:p>
        </w:tc>
        <w:tc>
          <w:tcPr>
            <w:tcW w:type="dxa" w:w="2448"/>
            <w:shd w:fill="FDFBF7"/>
            <w:tcMar>
              <w:top w:w="80" w:type="dxa"/>
              <w:bottom w:w="80" w:type="dxa"/>
              <w:left w:w="80" w:type="dxa"/>
              <w:right w:w="80" w:type="dxa"/>
            </w:tcMar>
          </w:tcPr>
          <w:p>
            <w:r>
              <w:rPr>
                <w:rFonts w:ascii="EB Garamond" w:hAnsi="EB Garamond"/>
                <w:color w:val="1E1914"/>
                <w:sz w:val="19"/>
              </w:rPr>
              <w:t>Indicadores de salas públicas, jugadores online y éxito en tiradas</w:t>
            </w:r>
          </w:p>
        </w:tc>
      </w:tr>
      <w:tr>
        <w:tc>
          <w:tcPr>
            <w:tcW w:type="dxa" w:w="2160"/>
            <w:shd w:fill="F4EFE6"/>
            <w:tcMar>
              <w:top w:w="80" w:type="dxa"/>
              <w:bottom w:w="80" w:type="dxa"/>
              <w:left w:w="80" w:type="dxa"/>
              <w:right w:w="80" w:type="dxa"/>
            </w:tcMar>
          </w:tcPr>
          <w:p>
            <w:r>
              <w:rPr>
                <w:rFonts w:ascii="Cinzel" w:hAnsi="Cinzel"/>
                <w:b/>
                <w:color w:val="1E1914"/>
                <w:sz w:val="19"/>
              </w:rPr>
              <w:t>Cobre de Aventurero (Copper CP)</w:t>
            </w:r>
          </w:p>
        </w:tc>
        <w:tc>
          <w:tcPr>
            <w:tcW w:type="dxa" w:w="1584"/>
            <w:shd w:fill="F4EFE6"/>
            <w:tcMar>
              <w:top w:w="80" w:type="dxa"/>
              <w:bottom w:w="80" w:type="dxa"/>
              <w:left w:w="80" w:type="dxa"/>
              <w:right w:w="80" w:type="dxa"/>
            </w:tcMar>
          </w:tcPr>
          <w:p>
            <w:r>
              <w:rPr>
                <w:rFonts w:ascii="Courier New" w:hAnsi="Courier New"/>
                <w:color w:val="1E1914"/>
                <w:sz w:val="17"/>
              </w:rPr>
              <w:t>#b45309</w:t>
            </w:r>
          </w:p>
        </w:tc>
        <w:tc>
          <w:tcPr>
            <w:tcW w:type="dxa" w:w="1584"/>
            <w:shd w:fill="F4EFE6"/>
            <w:tcMar>
              <w:top w:w="80" w:type="dxa"/>
              <w:bottom w:w="80" w:type="dxa"/>
              <w:left w:w="80" w:type="dxa"/>
              <w:right w:w="80" w:type="dxa"/>
            </w:tcMar>
          </w:tcPr>
          <w:p>
            <w:r>
              <w:rPr>
                <w:rFonts w:ascii="EB Garamond" w:hAnsi="EB Garamond"/>
                <w:color w:val="1E1914"/>
                <w:sz w:val="19"/>
              </w:rPr>
              <w:t>180, 83, 9</w:t>
            </w:r>
          </w:p>
        </w:tc>
        <w:tc>
          <w:tcPr>
            <w:tcW w:type="dxa" w:w="1872"/>
            <w:shd w:fill="F4EFE6"/>
            <w:tcMar>
              <w:top w:w="80" w:type="dxa"/>
              <w:bottom w:w="80" w:type="dxa"/>
              <w:left w:w="80" w:type="dxa"/>
              <w:right w:w="80" w:type="dxa"/>
            </w:tcMar>
          </w:tcPr>
          <w:p>
            <w:r>
              <w:rPr>
                <w:rFonts w:ascii="Courier New" w:hAnsi="Courier New"/>
                <w:color w:val="1E1914"/>
                <w:sz w:val="17"/>
              </w:rPr>
              <w:t>amber-700</w:t>
            </w:r>
          </w:p>
        </w:tc>
        <w:tc>
          <w:tcPr>
            <w:tcW w:type="dxa" w:w="2448"/>
            <w:shd w:fill="F4EFE6"/>
            <w:tcMar>
              <w:top w:w="80" w:type="dxa"/>
              <w:bottom w:w="80" w:type="dxa"/>
              <w:left w:w="80" w:type="dxa"/>
              <w:right w:w="80" w:type="dxa"/>
            </w:tcMar>
          </w:tcPr>
          <w:p>
            <w:r>
              <w:rPr>
                <w:rFonts w:ascii="EB Garamond" w:hAnsi="EB Garamond"/>
                <w:color w:val="1E1914"/>
                <w:sz w:val="19"/>
              </w:rPr>
              <w:t>Moneda de cobre, detalles rústicos de metal forjado</w:t>
            </w:r>
          </w:p>
        </w:tc>
      </w:tr>
    </w:tbl>
    <w:p>
      <w:pPr>
        <w:spacing w:after="160"/>
      </w:pPr>
    </w:p>
    <w:p>
      <w:pPr>
        <w:pStyle w:val="Heading1"/>
        <w:spacing w:before="320" w:after="120"/>
      </w:pPr>
      <w:r>
        <w:rPr>
          <w:rFonts w:ascii="Cinzel" w:hAnsi="Cinzel"/>
          <w:b/>
          <w:color w:val="D93829"/>
          <w:sz w:val="32"/>
        </w:rPr>
        <w:t>3. Sistema Tipográfico</w:t>
      </w:r>
    </w:p>
    <w:p>
      <w:pPr>
        <w:spacing w:after="160"/>
      </w:pPr>
      <w:r>
        <w:rPr>
          <w:rFonts w:ascii="EB Garamond" w:hAnsi="EB Garamond"/>
          <w:color w:val="281E19"/>
          <w:sz w:val="22"/>
        </w:rPr>
        <w:t>La identidad tipográfica de D&amp;D Companion se basa en un maridaje de dos fuentes principales con soporte de una sans-serif funcional para la lectura de datos numéricos veloces.</w:t>
      </w:r>
    </w:p>
    <w:p>
      <w:pPr>
        <w:spacing w:before="80" w:after="40"/>
      </w:pPr>
      <w:r>
        <w:rPr>
          <w:rFonts w:ascii="Cinzel" w:hAnsi="Cinzel"/>
          <w:b/>
          <w:color w:val="B45309"/>
          <w:sz w:val="22"/>
        </w:rPr>
        <w:t xml:space="preserve">• Cinzel (Google Fonts): </w:t>
      </w:r>
      <w:r>
        <w:rPr>
          <w:rFonts w:ascii="Cinzel" w:hAnsi="Cinzel"/>
          <w:color w:val="A88D6C"/>
          <w:sz w:val="19"/>
        </w:rPr>
        <w:t>[Títulos, Nombres de Campañas, Sellos y Botones Primarios]</w:t>
        <w:br/>
      </w:r>
      <w:r>
        <w:rPr>
          <w:rFonts w:ascii="EB Garamond" w:hAnsi="EB Garamond"/>
          <w:color w:val="2D231E"/>
          <w:sz w:val="21"/>
        </w:rPr>
        <w:t>Fuente de inspiración epigráfica romana, modelada sobre inscripciones clásicas de piedra. Aporta grandilocuencia, heroísmo y solemnidad. Se utiliza en mayúsculas sostenidas (ALL-CAPS) con espaciado entre letras moderado (tracking-wider). Pesos clave: Bold (700) y Black (900).</w:t>
      </w:r>
    </w:p>
    <w:p>
      <w:pPr>
        <w:spacing w:before="80" w:after="40"/>
      </w:pPr>
      <w:r>
        <w:rPr>
          <w:rFonts w:ascii="Cinzel" w:hAnsi="Cinzel"/>
          <w:b/>
          <w:color w:val="B45309"/>
          <w:sz w:val="22"/>
        </w:rPr>
        <w:t xml:space="preserve">• EB Garamond (Google Fonts): </w:t>
      </w:r>
      <w:r>
        <w:rPr>
          <w:rFonts w:ascii="Cinzel" w:hAnsi="Cinzel"/>
          <w:color w:val="A88D6C"/>
          <w:sz w:val="19"/>
        </w:rPr>
        <w:t>[Cuerpo de Texto, Lore, Descripciones de Hechizos y Citas]</w:t>
        <w:br/>
      </w:r>
      <w:r>
        <w:rPr>
          <w:rFonts w:ascii="EB Garamond" w:hAnsi="EB Garamond"/>
          <w:color w:val="2D231E"/>
          <w:sz w:val="21"/>
        </w:rPr>
        <w:t>Obra maestra del renacimiento humanista tipográfico. Altamente legible en pantalla, con curvas suaves que simulan la impresión de libros antiguos de cuentos y enciclopedias medievales. La variante en cursiva (italic) se usa rigurosamente para subtítulos, trasfondos de personaje y notas de rol.</w:t>
      </w:r>
    </w:p>
    <w:p>
      <w:pPr>
        <w:spacing w:before="80" w:after="40"/>
      </w:pPr>
      <w:r>
        <w:rPr>
          <w:rFonts w:ascii="Cinzel" w:hAnsi="Cinzel"/>
          <w:b/>
          <w:color w:val="B45309"/>
          <w:sz w:val="22"/>
        </w:rPr>
        <w:t xml:space="preserve">• Inter / Sans-Serif Limpia: </w:t>
      </w:r>
      <w:r>
        <w:rPr>
          <w:rFonts w:ascii="Cinzel" w:hAnsi="Cinzel"/>
          <w:color w:val="A88D6C"/>
          <w:sz w:val="19"/>
        </w:rPr>
        <w:t>[Modificadores de Combate, Estadísticas Numéricas y Modales Técnicos]</w:t>
        <w:br/>
      </w:r>
      <w:r>
        <w:rPr>
          <w:rFonts w:ascii="EB Garamond" w:hAnsi="EB Garamond"/>
          <w:color w:val="2D231E"/>
          <w:sz w:val="21"/>
        </w:rPr>
        <w:t>Diseñada para garantizar que en plena batalla un 'HP: 4/12' o '+5 a Destreza' se procese de forma inmediata por el ojo del jugador sin distracciones ornamentales.</w:t>
      </w:r>
    </w:p>
    <w:p>
      <w:pPr>
        <w:pStyle w:val="Heading1"/>
        <w:spacing w:before="320" w:after="120"/>
      </w:pPr>
      <w:r>
        <w:rPr>
          <w:rFonts w:ascii="Cinzel" w:hAnsi="Cinzel"/>
          <w:b/>
          <w:color w:val="D93829"/>
          <w:sz w:val="32"/>
        </w:rPr>
        <w:t>4. Tratamiento de Fondos, Texturas y Efectos Atmosféricos</w:t>
      </w:r>
    </w:p>
    <w:p>
      <w:pPr>
        <w:pStyle w:val="ListBullet"/>
        <w:spacing w:after="80"/>
      </w:pPr>
      <w:r>
        <w:rPr>
          <w:rFonts w:ascii="Cinzel" w:hAnsi="Cinzel"/>
          <w:b/>
          <w:color w:val="D93829"/>
          <w:sz w:val="21"/>
        </w:rPr>
        <w:t xml:space="preserve">Textura de Grano Fractal (SVG Noise Texture): </w:t>
      </w:r>
      <w:r>
        <w:rPr>
          <w:rFonts w:ascii="EB Garamond" w:hAnsi="EB Garamond"/>
          <w:color w:val="281E19"/>
          <w:sz w:val="21"/>
        </w:rPr>
        <w:t>Un filtro microscópico SVG con frecuencia 0.65 y 5% de opacidad se superpone en toda la pantalla. Esto elimina la sensación digital plástica de los monitores y le otorga a los paneles una rugosidad de papel artesanal.</w:t>
      </w:r>
    </w:p>
    <w:p>
      <w:pPr>
        <w:pStyle w:val="ListBullet"/>
        <w:spacing w:after="80"/>
      </w:pPr>
      <w:r>
        <w:rPr>
          <w:rFonts w:ascii="Cinzel" w:hAnsi="Cinzel"/>
          <w:b/>
          <w:color w:val="D93829"/>
          <w:sz w:val="21"/>
        </w:rPr>
        <w:t xml:space="preserve">Partículas Flotantes de Ascuas (Ember Particle Engine): </w:t>
      </w:r>
      <w:r>
        <w:rPr>
          <w:rFonts w:ascii="EB Garamond" w:hAnsi="EB Garamond"/>
          <w:color w:val="281E19"/>
          <w:sz w:val="21"/>
        </w:rPr>
        <w:t>Partículas doradas y carmesíes (#f5d061 y #d93829) con difuminado radial ascienden lentamente desde la base de la pantalla. Para piezas publicitarias y banners animados, incluir pequeñas chispas o polvo de estrellas añade vida y profundidad mágica.</w:t>
      </w:r>
    </w:p>
    <w:p>
      <w:pPr>
        <w:pStyle w:val="ListBullet"/>
        <w:spacing w:after="80"/>
      </w:pPr>
      <w:r>
        <w:rPr>
          <w:rFonts w:ascii="Cinzel" w:hAnsi="Cinzel"/>
          <w:b/>
          <w:color w:val="D93829"/>
          <w:sz w:val="21"/>
        </w:rPr>
        <w:t xml:space="preserve">Bordes y Sellos Rúnicos: </w:t>
      </w:r>
      <w:r>
        <w:rPr>
          <w:rFonts w:ascii="EB Garamond" w:hAnsi="EB Garamond"/>
          <w:color w:val="281E19"/>
          <w:sz w:val="21"/>
        </w:rPr>
        <w:t>Los paneles no usan sombras blancas ni bordes planos de 1px. Utilizan bordes dobles dorados con opacidades del 30% al 60% (border-magic-gold/40) y sellos en esquina superior derecha con corte diagonal (rounded-bl).</w:t>
      </w:r>
    </w:p>
    <w:p>
      <w:pPr>
        <w:pStyle w:val="ListBullet"/>
        <w:spacing w:after="80"/>
      </w:pPr>
      <w:r>
        <w:rPr>
          <w:rFonts w:ascii="Cinzel" w:hAnsi="Cinzel"/>
          <w:b/>
          <w:color w:val="D93829"/>
          <w:sz w:val="21"/>
        </w:rPr>
        <w:t xml:space="preserve">Viñeta Carmesí de Batalla (Combat Vignette): </w:t>
      </w:r>
      <w:r>
        <w:rPr>
          <w:rFonts w:ascii="EB Garamond" w:hAnsi="EB Garamond"/>
          <w:color w:val="281E19"/>
          <w:sz w:val="21"/>
        </w:rPr>
        <w:t>Efecto de sombreado perimetral en rojo fuego (rgba(217, 56, 41, 0.2)) que invade los extremos de la pantalla para momentos de tensión, combate o anuncios de jefes de mazmorra.</w:t>
      </w:r>
    </w:p>
    <w:p>
      <w:pPr>
        <w:pStyle w:val="Heading1"/>
        <w:spacing w:before="320" w:after="120"/>
      </w:pPr>
      <w:r>
        <w:rPr>
          <w:rFonts w:ascii="Cinzel" w:hAnsi="Cinzel"/>
          <w:b/>
          <w:color w:val="D93829"/>
          <w:sz w:val="32"/>
        </w:rPr>
        <w:t>5. Iconografía &amp; Lenguaje Simbólico</w:t>
      </w:r>
    </w:p>
    <w:p>
      <w:pPr>
        <w:spacing w:after="120"/>
      </w:pPr>
      <w:r>
        <w:rPr>
          <w:rFonts w:ascii="EB Garamond" w:hAnsi="EB Garamond"/>
          <w:color w:val="281E19"/>
          <w:sz w:val="22"/>
        </w:rPr>
        <w:t>Los iconos utilizados provienen de la biblioteca Lucide, tratados bajo una regla de trazo fino a medio (1.5px a 2px) y siempre teñidos con la paleta sagrada de la web (Oro #f5d061, Carmesí #d93829 o Tinta #e8d5b5).</w:t>
      </w:r>
    </w:p>
    <w:p>
      <w:pPr>
        <w:pStyle w:val="ListBullet"/>
        <w:spacing w:after="60"/>
      </w:pPr>
      <w:r>
        <w:rPr>
          <w:rFonts w:ascii="Cinzel" w:hAnsi="Cinzel"/>
          <w:b/>
          <w:color w:val="B45309"/>
          <w:sz w:val="20"/>
        </w:rPr>
        <w:t xml:space="preserve">Espadas Cruzadas (Swords / Sword): </w:t>
      </w:r>
      <w:r>
        <w:rPr>
          <w:rFonts w:ascii="EB Garamond" w:hAnsi="EB Garamond"/>
          <w:color w:val="281E19"/>
          <w:sz w:val="21"/>
        </w:rPr>
        <w:t>Combate, iniciativa, tiradas de ataque, acción de asalto</w:t>
      </w:r>
    </w:p>
    <w:p>
      <w:pPr>
        <w:pStyle w:val="ListBullet"/>
        <w:spacing w:after="60"/>
      </w:pPr>
      <w:r>
        <w:rPr>
          <w:rFonts w:ascii="Cinzel" w:hAnsi="Cinzel"/>
          <w:b/>
          <w:color w:val="B45309"/>
          <w:sz w:val="20"/>
        </w:rPr>
        <w:t xml:space="preserve">Escudo de Roble/Metal (Shield): </w:t>
      </w:r>
      <w:r>
        <w:rPr>
          <w:rFonts w:ascii="EB Garamond" w:hAnsi="EB Garamond"/>
          <w:color w:val="281E19"/>
          <w:sz w:val="21"/>
        </w:rPr>
        <w:t>Clase de armadura (AC), tiradas de salvación, rol de Dungeon Master</w:t>
      </w:r>
    </w:p>
    <w:p>
      <w:pPr>
        <w:pStyle w:val="ListBullet"/>
        <w:spacing w:after="60"/>
      </w:pPr>
      <w:r>
        <w:rPr>
          <w:rFonts w:ascii="Cinzel" w:hAnsi="Cinzel"/>
          <w:b/>
          <w:color w:val="B45309"/>
          <w:sz w:val="20"/>
        </w:rPr>
        <w:t xml:space="preserve">Corazón Ardiente (Heart): </w:t>
      </w:r>
      <w:r>
        <w:rPr>
          <w:rFonts w:ascii="EB Garamond" w:hAnsi="EB Garamond"/>
          <w:color w:val="281E19"/>
          <w:sz w:val="21"/>
        </w:rPr>
        <w:t>Puntos de vida (HP), curación, afecto de comunidad en el pie de página</w:t>
      </w:r>
    </w:p>
    <w:p>
      <w:pPr>
        <w:pStyle w:val="ListBullet"/>
        <w:spacing w:after="60"/>
      </w:pPr>
      <w:r>
        <w:rPr>
          <w:rFonts w:ascii="Cinzel" w:hAnsi="Cinzel"/>
          <w:b/>
          <w:color w:val="B45309"/>
          <w:sz w:val="20"/>
        </w:rPr>
        <w:t xml:space="preserve">Chispas Mágicas (Sparkles): </w:t>
      </w:r>
      <w:r>
        <w:rPr>
          <w:rFonts w:ascii="EB Garamond" w:hAnsi="EB Garamond"/>
          <w:color w:val="281E19"/>
          <w:sz w:val="21"/>
        </w:rPr>
        <w:t>Conjuros, espacios de magia, inspiración de bardo, novedades y alianzas</w:t>
      </w:r>
    </w:p>
    <w:p>
      <w:pPr>
        <w:pStyle w:val="ListBullet"/>
        <w:spacing w:after="60"/>
      </w:pPr>
      <w:r>
        <w:rPr>
          <w:rFonts w:ascii="Cinzel" w:hAnsi="Cinzel"/>
          <w:b/>
          <w:color w:val="B45309"/>
          <w:sz w:val="20"/>
        </w:rPr>
        <w:t xml:space="preserve">Dados Poliédricos (Dices / D20): </w:t>
      </w:r>
      <w:r>
        <w:rPr>
          <w:rFonts w:ascii="EB Garamond" w:hAnsi="EB Garamond"/>
          <w:color w:val="281E19"/>
          <w:sz w:val="21"/>
        </w:rPr>
        <w:t>Azar del destino, pruebas de habilidad, tiradas de salvación contra muerte</w:t>
      </w:r>
    </w:p>
    <w:p>
      <w:pPr>
        <w:pStyle w:val="ListBullet"/>
        <w:spacing w:after="60"/>
      </w:pPr>
      <w:r>
        <w:rPr>
          <w:rFonts w:ascii="Cinzel" w:hAnsi="Cinzel"/>
          <w:b/>
          <w:color w:val="B45309"/>
          <w:sz w:val="20"/>
        </w:rPr>
        <w:t xml:space="preserve">Pergamino y Libro (Scroll / BookOpen): </w:t>
      </w:r>
      <w:r>
        <w:rPr>
          <w:rFonts w:ascii="EB Garamond" w:hAnsi="EB Garamond"/>
          <w:color w:val="281E19"/>
          <w:sz w:val="21"/>
        </w:rPr>
        <w:t>Grimorio de hechizos, trasfondos de personajes, tutorial guiado</w:t>
      </w:r>
    </w:p>
    <w:p>
      <w:pPr>
        <w:pStyle w:val="ListBullet"/>
        <w:spacing w:after="60"/>
      </w:pPr>
      <w:r>
        <w:rPr>
          <w:rFonts w:ascii="Cinzel" w:hAnsi="Cinzel"/>
          <w:b/>
          <w:color w:val="B45309"/>
          <w:sz w:val="20"/>
        </w:rPr>
        <w:t xml:space="preserve">Corona / Trofeo (Crown / Trophy): </w:t>
      </w:r>
      <w:r>
        <w:rPr>
          <w:rFonts w:ascii="EB Garamond" w:hAnsi="EB Garamond"/>
          <w:color w:val="281E19"/>
          <w:sz w:val="21"/>
        </w:rPr>
        <w:t>Maestría de juego (DM), hazañas épicas y logros de campaña</w:t>
      </w:r>
    </w:p>
    <w:p>
      <w:pPr>
        <w:pStyle w:val="Heading1"/>
        <w:spacing w:before="320" w:after="120"/>
      </w:pPr>
      <w:r>
        <w:rPr>
          <w:rFonts w:ascii="Cinzel" w:hAnsi="Cinzel"/>
          <w:b/>
          <w:color w:val="D93829"/>
          <w:sz w:val="32"/>
        </w:rPr>
        <w:t>6. Guía para Creación de Logos &amp; Emblemas</w:t>
      </w:r>
    </w:p>
    <w:p>
      <w:pPr>
        <w:spacing w:after="120"/>
      </w:pPr>
      <w:r>
        <w:rPr>
          <w:rFonts w:ascii="EB Garamond" w:hAnsi="EB Garamond"/>
          <w:color w:val="281E19"/>
          <w:sz w:val="22"/>
        </w:rPr>
        <w:t>Al diseñar el logotipo oficial o emblemas derivados de D&amp;D Companion para marcas, marcas de agua o merchandising, deben respetarse las siguientes normas de composición:</w:t>
      </w:r>
    </w:p>
    <w:p>
      <w:pPr>
        <w:pStyle w:val="ListBullet"/>
        <w:spacing w:after="60"/>
      </w:pPr>
      <w:r>
        <w:rPr>
          <w:rFonts w:ascii="Cinzel" w:hAnsi="Cinzel"/>
          <w:b/>
          <w:color w:val="D93829"/>
          <w:sz w:val="20"/>
        </w:rPr>
        <w:t xml:space="preserve">Estructura Tipográfica Principal: </w:t>
      </w:r>
      <w:r>
        <w:rPr>
          <w:rFonts w:ascii="EB Garamond" w:hAnsi="EB Garamond"/>
          <w:color w:val="281E19"/>
          <w:sz w:val="21"/>
        </w:rPr>
        <w:t>La palabra 'DUNGEON &amp; DRAGONS' se representa en Cinzel Bold con acabado metálico dorado o rojo carmesí degradado (#d93829 a #b91c1c), con la palabra 'COMPANION' o 'GRIMOIRE' debajo en Cinzel Regular espaciado.</w:t>
      </w:r>
    </w:p>
    <w:p>
      <w:pPr>
        <w:pStyle w:val="ListBullet"/>
        <w:spacing w:after="60"/>
      </w:pPr>
      <w:r>
        <w:rPr>
          <w:rFonts w:ascii="Cinzel" w:hAnsi="Cinzel"/>
          <w:b/>
          <w:color w:val="D93829"/>
          <w:sz w:val="20"/>
        </w:rPr>
        <w:t xml:space="preserve">El Isotipo Sagrado (Símbolo): </w:t>
      </w:r>
      <w:r>
        <w:rPr>
          <w:rFonts w:ascii="EB Garamond" w:hAnsi="EB Garamond"/>
          <w:color w:val="281E19"/>
          <w:sz w:val="21"/>
        </w:rPr>
        <w:t>Un Dado D20 poliédrico estilizado, grabado con filigranas élficas o envuelto en llamas mágicas ascendentes.</w:t>
      </w:r>
    </w:p>
    <w:p>
      <w:pPr>
        <w:pStyle w:val="ListBullet"/>
        <w:spacing w:after="60"/>
      </w:pPr>
      <w:r>
        <w:rPr>
          <w:rFonts w:ascii="Cinzel" w:hAnsi="Cinzel"/>
          <w:b/>
          <w:color w:val="D93829"/>
          <w:sz w:val="20"/>
        </w:rPr>
        <w:t xml:space="preserve">Bordes y Fondos Permitidos: </w:t>
      </w:r>
      <w:r>
        <w:rPr>
          <w:rFonts w:ascii="EB Garamond" w:hAnsi="EB Garamond"/>
          <w:color w:val="281E19"/>
          <w:sz w:val="21"/>
        </w:rPr>
        <w:t>El logo SIEMPRE debe apoyarse sobre fondos oscuros (cuero negro #000000, parchment-dark #190f0c o gris antracita). NUNCA sobre fondos blancos planos sin textura.</w:t>
      </w:r>
    </w:p>
    <w:p>
      <w:pPr>
        <w:pStyle w:val="ListBullet"/>
        <w:spacing w:after="60"/>
      </w:pPr>
      <w:r>
        <w:rPr>
          <w:rFonts w:ascii="Cinzel" w:hAnsi="Cinzel"/>
          <w:b/>
          <w:color w:val="D93829"/>
          <w:sz w:val="20"/>
        </w:rPr>
        <w:t xml:space="preserve">Zona de Seguridad: </w:t>
      </w:r>
      <w:r>
        <w:rPr>
          <w:rFonts w:ascii="EB Garamond" w:hAnsi="EB Garamond"/>
          <w:color w:val="281E19"/>
          <w:sz w:val="21"/>
        </w:rPr>
        <w:t>Mantener un espacio libre equivalente a la altura de la letra 'D' alrededor del logo para evitar saturación.</w:t>
      </w:r>
    </w:p>
    <w:p>
      <w:pPr>
        <w:pStyle w:val="Heading1"/>
        <w:spacing w:before="320" w:after="120"/>
      </w:pPr>
      <w:r>
        <w:rPr>
          <w:rFonts w:ascii="Cinzel" w:hAnsi="Cinzel"/>
          <w:b/>
          <w:color w:val="D93829"/>
          <w:sz w:val="32"/>
        </w:rPr>
        <w:t>7. Especificaciones para Banners &amp; Redes Sociales</w:t>
      </w:r>
    </w:p>
    <w:tbl>
      <w:tblPr>
        <w:tblW w:type="auto" w:w="0"/>
        <w:jc w:val="center"/>
        <w:tblLayout w:type="fixed"/>
        <w:tblLook w:firstColumn="1" w:firstRow="1" w:lastColumn="0" w:lastRow="0" w:noHBand="0" w:noVBand="1" w:val="04A0"/>
        <w:tblBorders>
          <w:top w:val="single" w:sz="6" w:space="0" w:color="D4AF37"/>
          <w:bottom w:val="single" w:sz="6" w:space="0" w:color="D4AF37"/>
          <w:insideH w:val="single" w:sz="6" w:space="0" w:color="D4AF37"/>
          <w:insideV w:val="none"/>
          <w:left w:val="none"/>
          <w:right w:val="none"/>
        </w:tblBorders>
      </w:tblPr>
      <w:tblGrid>
        <w:gridCol w:w="2412"/>
        <w:gridCol w:w="2412"/>
        <w:gridCol w:w="2412"/>
        <w:gridCol w:w="2412"/>
      </w:tblGrid>
      <w:tr>
        <w:tc>
          <w:tcPr>
            <w:tcW w:type="dxa" w:w="2592"/>
            <w:shd w:fill="190F0C"/>
            <w:tcMar>
              <w:top w:w="100" w:type="dxa"/>
              <w:bottom w:w="100" w:type="dxa"/>
              <w:left w:w="90" w:type="dxa"/>
              <w:right w:w="90" w:type="dxa"/>
            </w:tcMar>
          </w:tcPr>
          <w:p>
            <w:r>
              <w:rPr>
                <w:rFonts w:ascii="Cinzel" w:hAnsi="Cinzel"/>
                <w:b/>
                <w:color w:val="F5D061"/>
                <w:sz w:val="18"/>
              </w:rPr>
              <w:t>Canal / Formato</w:t>
            </w:r>
          </w:p>
        </w:tc>
        <w:tc>
          <w:tcPr>
            <w:tcW w:type="dxa" w:w="1872"/>
            <w:shd w:fill="190F0C"/>
            <w:tcMar>
              <w:top w:w="100" w:type="dxa"/>
              <w:bottom w:w="100" w:type="dxa"/>
              <w:left w:w="90" w:type="dxa"/>
              <w:right w:w="90" w:type="dxa"/>
            </w:tcMar>
          </w:tcPr>
          <w:p>
            <w:r>
              <w:rPr>
                <w:rFonts w:ascii="Cinzel" w:hAnsi="Cinzel"/>
                <w:b/>
                <w:color w:val="F5D061"/>
                <w:sz w:val="18"/>
              </w:rPr>
              <w:t>Dimensiones (px)</w:t>
            </w:r>
          </w:p>
        </w:tc>
        <w:tc>
          <w:tcPr>
            <w:tcW w:type="dxa" w:w="1152"/>
            <w:shd w:fill="190F0C"/>
            <w:tcMar>
              <w:top w:w="100" w:type="dxa"/>
              <w:bottom w:w="100" w:type="dxa"/>
              <w:left w:w="90" w:type="dxa"/>
              <w:right w:w="90" w:type="dxa"/>
            </w:tcMar>
          </w:tcPr>
          <w:p>
            <w:r>
              <w:rPr>
                <w:rFonts w:ascii="Cinzel" w:hAnsi="Cinzel"/>
                <w:b/>
                <w:color w:val="F5D061"/>
                <w:sz w:val="18"/>
              </w:rPr>
              <w:t>Ratio</w:t>
            </w:r>
          </w:p>
        </w:tc>
        <w:tc>
          <w:tcPr>
            <w:tcW w:type="dxa" w:w="4032"/>
            <w:shd w:fill="190F0C"/>
            <w:tcMar>
              <w:top w:w="100" w:type="dxa"/>
              <w:bottom w:w="100" w:type="dxa"/>
              <w:left w:w="90" w:type="dxa"/>
              <w:right w:w="90" w:type="dxa"/>
            </w:tcMar>
          </w:tcPr>
          <w:p>
            <w:r>
              <w:rPr>
                <w:rFonts w:ascii="Cinzel" w:hAnsi="Cinzel"/>
                <w:b/>
                <w:color w:val="F5D061"/>
                <w:sz w:val="18"/>
              </w:rPr>
              <w:t>Estrategia Visual Recomendada</w:t>
            </w:r>
          </w:p>
        </w:tc>
      </w:tr>
      <w:tr>
        <w:tc>
          <w:tcPr>
            <w:tcW w:type="dxa" w:w="2592"/>
            <w:shd w:fill="FDFBF7"/>
            <w:tcMar>
              <w:top w:w="70" w:type="dxa"/>
              <w:bottom w:w="70" w:type="dxa"/>
              <w:left w:w="70" w:type="dxa"/>
              <w:right w:w="70" w:type="dxa"/>
            </w:tcMar>
          </w:tcPr>
          <w:p>
            <w:r>
              <w:rPr>
                <w:rFonts w:ascii="Cinzel" w:hAnsi="Cinzel"/>
                <w:b/>
                <w:color w:val="1E1914"/>
                <w:sz w:val="19"/>
              </w:rPr>
              <w:t>Cabecera YouTube / Web</w:t>
            </w:r>
          </w:p>
        </w:tc>
        <w:tc>
          <w:tcPr>
            <w:tcW w:type="dxa" w:w="1872"/>
            <w:shd w:fill="FDFBF7"/>
            <w:tcMar>
              <w:top w:w="70" w:type="dxa"/>
              <w:bottom w:w="70" w:type="dxa"/>
              <w:left w:w="70" w:type="dxa"/>
              <w:right w:w="70" w:type="dxa"/>
            </w:tcMar>
          </w:tcPr>
          <w:p>
            <w:r>
              <w:rPr>
                <w:rFonts w:ascii="Courier New" w:hAnsi="Courier New"/>
                <w:color w:val="1E1914"/>
                <w:sz w:val="17"/>
              </w:rPr>
              <w:t>2560 x 1440 (1920x1080 seguro)</w:t>
            </w:r>
          </w:p>
        </w:tc>
        <w:tc>
          <w:tcPr>
            <w:tcW w:type="dxa" w:w="1152"/>
            <w:shd w:fill="FDFBF7"/>
            <w:tcMar>
              <w:top w:w="70" w:type="dxa"/>
              <w:bottom w:w="70" w:type="dxa"/>
              <w:left w:w="70" w:type="dxa"/>
              <w:right w:w="70" w:type="dxa"/>
            </w:tcMar>
          </w:tcPr>
          <w:p>
            <w:r>
              <w:rPr>
                <w:rFonts w:ascii="Courier New" w:hAnsi="Courier New"/>
                <w:color w:val="1E1914"/>
                <w:sz w:val="17"/>
              </w:rPr>
              <w:t>16:9</w:t>
            </w:r>
          </w:p>
        </w:tc>
        <w:tc>
          <w:tcPr>
            <w:tcW w:type="dxa" w:w="4032"/>
            <w:shd w:fill="FDFBF7"/>
            <w:tcMar>
              <w:top w:w="70" w:type="dxa"/>
              <w:bottom w:w="70" w:type="dxa"/>
              <w:left w:w="70" w:type="dxa"/>
              <w:right w:w="70" w:type="dxa"/>
            </w:tcMar>
          </w:tcPr>
          <w:p>
            <w:r>
              <w:rPr>
                <w:rFonts w:ascii="EB Garamond" w:hAnsi="EB Garamond"/>
                <w:color w:val="1E1914"/>
                <w:sz w:val="19"/>
              </w:rPr>
              <w:t>Fondo de mesa de rol con grimorio abierto, dados dorados iluminados por velas y título central en Cinzel Oro.</w:t>
            </w:r>
          </w:p>
        </w:tc>
      </w:tr>
      <w:tr>
        <w:tc>
          <w:tcPr>
            <w:tcW w:type="dxa" w:w="2592"/>
            <w:shd w:fill="F4EFE6"/>
            <w:tcMar>
              <w:top w:w="70" w:type="dxa"/>
              <w:bottom w:w="70" w:type="dxa"/>
              <w:left w:w="70" w:type="dxa"/>
              <w:right w:w="70" w:type="dxa"/>
            </w:tcMar>
          </w:tcPr>
          <w:p>
            <w:r>
              <w:rPr>
                <w:rFonts w:ascii="Cinzel" w:hAnsi="Cinzel"/>
                <w:b/>
                <w:color w:val="1E1914"/>
                <w:sz w:val="19"/>
              </w:rPr>
              <w:t>Banner Discord / Evento</w:t>
            </w:r>
          </w:p>
        </w:tc>
        <w:tc>
          <w:tcPr>
            <w:tcW w:type="dxa" w:w="1872"/>
            <w:shd w:fill="F4EFE6"/>
            <w:tcMar>
              <w:top w:w="70" w:type="dxa"/>
              <w:bottom w:w="70" w:type="dxa"/>
              <w:left w:w="70" w:type="dxa"/>
              <w:right w:w="70" w:type="dxa"/>
            </w:tcMar>
          </w:tcPr>
          <w:p>
            <w:r>
              <w:rPr>
                <w:rFonts w:ascii="Courier New" w:hAnsi="Courier New"/>
                <w:color w:val="1E1914"/>
                <w:sz w:val="17"/>
              </w:rPr>
              <w:t>1920 x 1080</w:t>
            </w:r>
          </w:p>
        </w:tc>
        <w:tc>
          <w:tcPr>
            <w:tcW w:type="dxa" w:w="1152"/>
            <w:shd w:fill="F4EFE6"/>
            <w:tcMar>
              <w:top w:w="70" w:type="dxa"/>
              <w:bottom w:w="70" w:type="dxa"/>
              <w:left w:w="70" w:type="dxa"/>
              <w:right w:w="70" w:type="dxa"/>
            </w:tcMar>
          </w:tcPr>
          <w:p>
            <w:r>
              <w:rPr>
                <w:rFonts w:ascii="Courier New" w:hAnsi="Courier New"/>
                <w:color w:val="1E1914"/>
                <w:sz w:val="17"/>
              </w:rPr>
              <w:t>16:9</w:t>
            </w:r>
          </w:p>
        </w:tc>
        <w:tc>
          <w:tcPr>
            <w:tcW w:type="dxa" w:w="4032"/>
            <w:shd w:fill="F4EFE6"/>
            <w:tcMar>
              <w:top w:w="70" w:type="dxa"/>
              <w:bottom w:w="70" w:type="dxa"/>
              <w:left w:w="70" w:type="dxa"/>
              <w:right w:w="70" w:type="dxa"/>
            </w:tcMar>
          </w:tcPr>
          <w:p>
            <w:r>
              <w:rPr>
                <w:rFonts w:ascii="EB Garamond" w:hAnsi="EB Garamond"/>
                <w:color w:val="1E1914"/>
                <w:sz w:val="19"/>
              </w:rPr>
              <w:t>Atmósfera de mazmorra oscura con niebla, marco rúnico dorado y botón de llamada a la acción 'Unirse a la Campaña'.</w:t>
            </w:r>
          </w:p>
        </w:tc>
      </w:tr>
      <w:tr>
        <w:tc>
          <w:tcPr>
            <w:tcW w:type="dxa" w:w="2592"/>
            <w:shd w:fill="FDFBF7"/>
            <w:tcMar>
              <w:top w:w="70" w:type="dxa"/>
              <w:bottom w:w="70" w:type="dxa"/>
              <w:left w:w="70" w:type="dxa"/>
              <w:right w:w="70" w:type="dxa"/>
            </w:tcMar>
          </w:tcPr>
          <w:p>
            <w:r>
              <w:rPr>
                <w:rFonts w:ascii="Cinzel" w:hAnsi="Cinzel"/>
                <w:b/>
                <w:color w:val="1E1914"/>
                <w:sz w:val="19"/>
              </w:rPr>
              <w:t>Feed Instagram / X Cuadrado</w:t>
            </w:r>
          </w:p>
        </w:tc>
        <w:tc>
          <w:tcPr>
            <w:tcW w:type="dxa" w:w="1872"/>
            <w:shd w:fill="FDFBF7"/>
            <w:tcMar>
              <w:top w:w="70" w:type="dxa"/>
              <w:bottom w:w="70" w:type="dxa"/>
              <w:left w:w="70" w:type="dxa"/>
              <w:right w:w="70" w:type="dxa"/>
            </w:tcMar>
          </w:tcPr>
          <w:p>
            <w:r>
              <w:rPr>
                <w:rFonts w:ascii="Courier New" w:hAnsi="Courier New"/>
                <w:color w:val="1E1914"/>
                <w:sz w:val="17"/>
              </w:rPr>
              <w:t>1080 x 1080</w:t>
            </w:r>
          </w:p>
        </w:tc>
        <w:tc>
          <w:tcPr>
            <w:tcW w:type="dxa" w:w="1152"/>
            <w:shd w:fill="FDFBF7"/>
            <w:tcMar>
              <w:top w:w="70" w:type="dxa"/>
              <w:bottom w:w="70" w:type="dxa"/>
              <w:left w:w="70" w:type="dxa"/>
              <w:right w:w="70" w:type="dxa"/>
            </w:tcMar>
          </w:tcPr>
          <w:p>
            <w:r>
              <w:rPr>
                <w:rFonts w:ascii="Courier New" w:hAnsi="Courier New"/>
                <w:color w:val="1E1914"/>
                <w:sz w:val="17"/>
              </w:rPr>
              <w:t>1:1</w:t>
            </w:r>
          </w:p>
        </w:tc>
        <w:tc>
          <w:tcPr>
            <w:tcW w:type="dxa" w:w="4032"/>
            <w:shd w:fill="FDFBF7"/>
            <w:tcMar>
              <w:top w:w="70" w:type="dxa"/>
              <w:bottom w:w="70" w:type="dxa"/>
              <w:left w:w="70" w:type="dxa"/>
              <w:right w:w="70" w:type="dxa"/>
            </w:tcMar>
          </w:tcPr>
          <w:p>
            <w:r>
              <w:rPr>
                <w:rFonts w:ascii="EB Garamond" w:hAnsi="EB Garamond"/>
                <w:color w:val="1E1914"/>
                <w:sz w:val="19"/>
              </w:rPr>
              <w:t>Ficha estética de hechizo o criatura enmarcada en pergamino quemado (#2c1e18), tipografía Garamond Italic y sello superior.</w:t>
            </w:r>
          </w:p>
        </w:tc>
      </w:tr>
      <w:tr>
        <w:tc>
          <w:tcPr>
            <w:tcW w:type="dxa" w:w="2592"/>
            <w:shd w:fill="F4EFE6"/>
            <w:tcMar>
              <w:top w:w="70" w:type="dxa"/>
              <w:bottom w:w="70" w:type="dxa"/>
              <w:left w:w="70" w:type="dxa"/>
              <w:right w:w="70" w:type="dxa"/>
            </w:tcMar>
          </w:tcPr>
          <w:p>
            <w:r>
              <w:rPr>
                <w:rFonts w:ascii="Cinzel" w:hAnsi="Cinzel"/>
                <w:b/>
                <w:color w:val="1E1914"/>
                <w:sz w:val="19"/>
              </w:rPr>
              <w:t>Stories / Reels / TikTok</w:t>
            </w:r>
          </w:p>
        </w:tc>
        <w:tc>
          <w:tcPr>
            <w:tcW w:type="dxa" w:w="1872"/>
            <w:shd w:fill="F4EFE6"/>
            <w:tcMar>
              <w:top w:w="70" w:type="dxa"/>
              <w:bottom w:w="70" w:type="dxa"/>
              <w:left w:w="70" w:type="dxa"/>
              <w:right w:w="70" w:type="dxa"/>
            </w:tcMar>
          </w:tcPr>
          <w:p>
            <w:r>
              <w:rPr>
                <w:rFonts w:ascii="Courier New" w:hAnsi="Courier New"/>
                <w:color w:val="1E1914"/>
                <w:sz w:val="17"/>
              </w:rPr>
              <w:t>1080 x 1920</w:t>
            </w:r>
          </w:p>
        </w:tc>
        <w:tc>
          <w:tcPr>
            <w:tcW w:type="dxa" w:w="1152"/>
            <w:shd w:fill="F4EFE6"/>
            <w:tcMar>
              <w:top w:w="70" w:type="dxa"/>
              <w:bottom w:w="70" w:type="dxa"/>
              <w:left w:w="70" w:type="dxa"/>
              <w:right w:w="70" w:type="dxa"/>
            </w:tcMar>
          </w:tcPr>
          <w:p>
            <w:r>
              <w:rPr>
                <w:rFonts w:ascii="Courier New" w:hAnsi="Courier New"/>
                <w:color w:val="1E1914"/>
                <w:sz w:val="17"/>
              </w:rPr>
              <w:t>9:16</w:t>
            </w:r>
          </w:p>
        </w:tc>
        <w:tc>
          <w:tcPr>
            <w:tcW w:type="dxa" w:w="4032"/>
            <w:shd w:fill="F4EFE6"/>
            <w:tcMar>
              <w:top w:w="70" w:type="dxa"/>
              <w:bottom w:w="70" w:type="dxa"/>
              <w:left w:w="70" w:type="dxa"/>
              <w:right w:w="70" w:type="dxa"/>
            </w:tcMar>
          </w:tcPr>
          <w:p>
            <w:r>
              <w:rPr>
                <w:rFonts w:ascii="EB Garamond" w:hAnsi="EB Garamond"/>
                <w:color w:val="1E1914"/>
                <w:sz w:val="19"/>
              </w:rPr>
              <w:t>Composición vertical: el 60% superior para ilustración épica o escena de combate; el 40% inferior para pergamino con estadísticas.</w:t>
            </w:r>
          </w:p>
        </w:tc>
      </w:tr>
      <w:tr>
        <w:tc>
          <w:tcPr>
            <w:tcW w:type="dxa" w:w="2592"/>
            <w:shd w:fill="FDFBF7"/>
            <w:tcMar>
              <w:top w:w="70" w:type="dxa"/>
              <w:bottom w:w="70" w:type="dxa"/>
              <w:left w:w="70" w:type="dxa"/>
              <w:right w:w="70" w:type="dxa"/>
            </w:tcMar>
          </w:tcPr>
          <w:p>
            <w:r>
              <w:rPr>
                <w:rFonts w:ascii="Cinzel" w:hAnsi="Cinzel"/>
                <w:b/>
                <w:color w:val="1E1914"/>
                <w:sz w:val="19"/>
              </w:rPr>
              <w:t>Cabecera Twitter / X</w:t>
            </w:r>
          </w:p>
        </w:tc>
        <w:tc>
          <w:tcPr>
            <w:tcW w:type="dxa" w:w="1872"/>
            <w:shd w:fill="FDFBF7"/>
            <w:tcMar>
              <w:top w:w="70" w:type="dxa"/>
              <w:bottom w:w="70" w:type="dxa"/>
              <w:left w:w="70" w:type="dxa"/>
              <w:right w:w="70" w:type="dxa"/>
            </w:tcMar>
          </w:tcPr>
          <w:p>
            <w:r>
              <w:rPr>
                <w:rFonts w:ascii="Courier New" w:hAnsi="Courier New"/>
                <w:color w:val="1E1914"/>
                <w:sz w:val="17"/>
              </w:rPr>
              <w:t>1500 x 500</w:t>
            </w:r>
          </w:p>
        </w:tc>
        <w:tc>
          <w:tcPr>
            <w:tcW w:type="dxa" w:w="1152"/>
            <w:shd w:fill="FDFBF7"/>
            <w:tcMar>
              <w:top w:w="70" w:type="dxa"/>
              <w:bottom w:w="70" w:type="dxa"/>
              <w:left w:w="70" w:type="dxa"/>
              <w:right w:w="70" w:type="dxa"/>
            </w:tcMar>
          </w:tcPr>
          <w:p>
            <w:r>
              <w:rPr>
                <w:rFonts w:ascii="Courier New" w:hAnsi="Courier New"/>
                <w:color w:val="1E1914"/>
                <w:sz w:val="17"/>
              </w:rPr>
              <w:t>3:1</w:t>
            </w:r>
          </w:p>
        </w:tc>
        <w:tc>
          <w:tcPr>
            <w:tcW w:type="dxa" w:w="4032"/>
            <w:shd w:fill="FDFBF7"/>
            <w:tcMar>
              <w:top w:w="70" w:type="dxa"/>
              <w:bottom w:w="70" w:type="dxa"/>
              <w:left w:w="70" w:type="dxa"/>
              <w:right w:w="70" w:type="dxa"/>
            </w:tcMar>
          </w:tcPr>
          <w:p>
            <w:r>
              <w:rPr>
                <w:rFonts w:ascii="EB Garamond" w:hAnsi="EB Garamond"/>
                <w:color w:val="1E1914"/>
                <w:sz w:val="19"/>
              </w:rPr>
              <w:t>Banner panorámico con mapa antiguo de fantasía a baja opacidad, logotipo a la izquierda y eslogan 'El grimorio en tiempo real' a la derecha.</w:t>
            </w:r>
          </w:p>
        </w:tc>
      </w:tr>
    </w:tbl>
    <w:p>
      <w:pPr>
        <w:spacing w:after="160"/>
      </w:pPr>
    </w:p>
    <w:p>
      <w:pPr>
        <w:pStyle w:val="Heading1"/>
        <w:spacing w:before="320" w:after="120"/>
      </w:pPr>
      <w:r>
        <w:rPr>
          <w:rFonts w:ascii="Cinzel" w:hAnsi="Cinzel"/>
          <w:b/>
          <w:color w:val="D93829"/>
          <w:sz w:val="32"/>
        </w:rPr>
        <w:t>8. Banco de Prompts para Generación de Imágenes con IA</w:t>
      </w:r>
    </w:p>
    <w:p>
      <w:pPr>
        <w:spacing w:after="120"/>
      </w:pPr>
      <w:r>
        <w:rPr>
          <w:rFonts w:ascii="EB Garamond" w:hAnsi="EB Garamond"/>
          <w:color w:val="281E19"/>
          <w:sz w:val="22"/>
        </w:rPr>
        <w:t>Para acelerar la creación de fondos, piezas promocionales y conceptos para la web con herramientas como Midjourney, Ideogram o DALL-E, utiliza las siguientes fórmulas de ingeniería de prompts optimizadas para la estética de D&amp;D Companion:</w:t>
      </w:r>
    </w:p>
    <w:p>
      <w:pPr>
        <w:spacing w:before="120" w:after="40"/>
      </w:pPr>
      <w:r>
        <w:rPr>
          <w:rFonts w:ascii="Cinzel" w:hAnsi="Cinzel"/>
          <w:b/>
          <w:color w:val="B45309"/>
          <w:sz w:val="21"/>
        </w:rPr>
        <w:t>✦ Prompt 1: Fondo de Grimorio y Mesa de Rol (Textura Web / Banner)</w:t>
        <w:br/>
      </w:r>
    </w:p>
    <w:tbl>
      <w:tblPr>
        <w:tblW w:type="auto" w:w="0"/>
        <w:jc w:val="center"/>
        <w:tblLayout w:type="fixed"/>
        <w:tblLook w:firstColumn="1" w:firstRow="1" w:lastColumn="0" w:lastRow="0" w:noHBand="0" w:noVBand="1" w:val="04A0"/>
      </w:tblPr>
      <w:tblGrid>
        <w:gridCol w:w="9648"/>
      </w:tblGrid>
      <w:tr>
        <w:tc>
          <w:tcPr>
            <w:tcW w:type="dxa" w:w="9360"/>
            <w:shd w:fill="F5EFE6"/>
            <w:tcMar>
              <w:top w:w="80" w:type="dxa"/>
              <w:bottom w:w="80" w:type="dxa"/>
              <w:left w:w="120" w:type="dxa"/>
              <w:right w:w="120" w:type="dxa"/>
            </w:tcMar>
          </w:tcPr>
          <w:p>
            <w:pPr>
              <w:spacing w:after="0"/>
            </w:pPr>
            <w:r>
              <w:rPr>
                <w:rFonts w:ascii="Courier New" w:hAnsi="Courier New"/>
                <w:color w:val="462814"/>
                <w:sz w:val="18"/>
              </w:rPr>
              <w:t>dark fantasy tabletop setting, antique leather grimoire opened with glowing gold runes, wooden tavern table, scattered polyhedral dice reflecting candlelight, warm embers floating in the air, deep shadows, cinematic warm ambient lighting, hyper-detailed parchment texture, no modern elements, moody, dark atmosphere, 8k resolution, cinematic composition --ar 16:9</w:t>
            </w:r>
          </w:p>
        </w:tc>
      </w:tr>
    </w:tbl>
    <w:p>
      <w:pPr>
        <w:spacing w:before="120" w:after="40"/>
      </w:pPr>
      <w:r>
        <w:rPr>
          <w:rFonts w:ascii="Cinzel" w:hAnsi="Cinzel"/>
          <w:b/>
          <w:color w:val="B45309"/>
          <w:sz w:val="21"/>
        </w:rPr>
        <w:t>✦ Prompt 2: Logotipo / Emblema Heroico D&amp;D Companion</w:t>
        <w:br/>
      </w:r>
    </w:p>
    <w:tbl>
      <w:tblPr>
        <w:tblW w:type="auto" w:w="0"/>
        <w:jc w:val="center"/>
        <w:tblLayout w:type="fixed"/>
        <w:tblLook w:firstColumn="1" w:firstRow="1" w:lastColumn="0" w:lastRow="0" w:noHBand="0" w:noVBand="1" w:val="04A0"/>
      </w:tblPr>
      <w:tblGrid>
        <w:gridCol w:w="9648"/>
      </w:tblGrid>
      <w:tr>
        <w:tc>
          <w:tcPr>
            <w:tcW w:type="dxa" w:w="9360"/>
            <w:shd w:fill="F5EFE6"/>
            <w:tcMar>
              <w:top w:w="80" w:type="dxa"/>
              <w:bottom w:w="80" w:type="dxa"/>
              <w:left w:w="120" w:type="dxa"/>
              <w:right w:w="120" w:type="dxa"/>
            </w:tcMar>
          </w:tcPr>
          <w:p>
            <w:pPr>
              <w:spacing w:after="0"/>
            </w:pPr>
            <w:r>
              <w:rPr>
                <w:rFonts w:ascii="Courier New" w:hAnsi="Courier New"/>
                <w:color w:val="462814"/>
                <w:sz w:val="18"/>
              </w:rPr>
              <w:t>heraldic fantasy logo emblem, twenty-sided D20 die crafted from ancient obsidian and surrounded by intricate golden filigree, subtle dragon wings framing the sides, glowing amber runes etched on faces, dark leather background, high-end vector fantasy crest, symmetrical, majestic, dark fantasy RPG insignia --no text, modern elements --v 6.0</w:t>
            </w:r>
          </w:p>
        </w:tc>
      </w:tr>
    </w:tbl>
    <w:p>
      <w:pPr>
        <w:spacing w:before="120" w:after="40"/>
      </w:pPr>
      <w:r>
        <w:rPr>
          <w:rFonts w:ascii="Cinzel" w:hAnsi="Cinzel"/>
          <w:b/>
          <w:color w:val="B45309"/>
          <w:sz w:val="21"/>
        </w:rPr>
        <w:t>✦ Prompt 3: Banner de Anuncio de Campaña / Mazmorra</w:t>
        <w:br/>
      </w:r>
    </w:p>
    <w:tbl>
      <w:tblPr>
        <w:tblW w:type="auto" w:w="0"/>
        <w:jc w:val="center"/>
        <w:tblLayout w:type="fixed"/>
        <w:tblLook w:firstColumn="1" w:firstRow="1" w:lastColumn="0" w:lastRow="0" w:noHBand="0" w:noVBand="1" w:val="04A0"/>
      </w:tblPr>
      <w:tblGrid>
        <w:gridCol w:w="9648"/>
      </w:tblGrid>
      <w:tr>
        <w:tc>
          <w:tcPr>
            <w:tcW w:type="dxa" w:w="9360"/>
            <w:shd w:fill="F5EFE6"/>
            <w:tcMar>
              <w:top w:w="80" w:type="dxa"/>
              <w:bottom w:w="80" w:type="dxa"/>
              <w:left w:w="120" w:type="dxa"/>
              <w:right w:w="120" w:type="dxa"/>
            </w:tcMar>
          </w:tcPr>
          <w:p>
            <w:pPr>
              <w:spacing w:after="0"/>
            </w:pPr>
            <w:r>
              <w:rPr>
                <w:rFonts w:ascii="Courier New" w:hAnsi="Courier New"/>
                <w:color w:val="462814"/>
                <w:sz w:val="18"/>
              </w:rPr>
              <w:t>epic dark fantasy dungeon entrance viewed through an ancient stone archway, mystical golden and crimson braziers illuminating dark corridors, subtle magical runes floating in mist, dramatic cinematic volumetric light, ominous yet inviting for adventurers, rich warm colors, dark brown and gold palette --ar 16:9 --stylize 250</w:t>
            </w:r>
          </w:p>
        </w:tc>
      </w:tr>
    </w:tbl>
    <w:p>
      <w:pPr>
        <w:spacing w:before="120" w:after="40"/>
      </w:pPr>
      <w:r>
        <w:rPr>
          <w:rFonts w:ascii="Cinzel" w:hAnsi="Cinzel"/>
          <w:b/>
          <w:color w:val="B45309"/>
          <w:sz w:val="21"/>
        </w:rPr>
        <w:t>✦ Prompt 4: Tarjeta de Hechizo o Criatura Legendaria (Feed Cuadrado)</w:t>
        <w:br/>
      </w:r>
    </w:p>
    <w:tbl>
      <w:tblPr>
        <w:tblW w:type="auto" w:w="0"/>
        <w:jc w:val="center"/>
        <w:tblLayout w:type="fixed"/>
        <w:tblLook w:firstColumn="1" w:firstRow="1" w:lastColumn="0" w:lastRow="0" w:noHBand="0" w:noVBand="1" w:val="04A0"/>
      </w:tblPr>
      <w:tblGrid>
        <w:gridCol w:w="9648"/>
      </w:tblGrid>
      <w:tr>
        <w:tc>
          <w:tcPr>
            <w:tcW w:type="dxa" w:w="9360"/>
            <w:shd w:fill="F5EFE6"/>
            <w:tcMar>
              <w:top w:w="80" w:type="dxa"/>
              <w:bottom w:w="80" w:type="dxa"/>
              <w:left w:w="120" w:type="dxa"/>
              <w:right w:w="120" w:type="dxa"/>
            </w:tcMar>
          </w:tcPr>
          <w:p>
            <w:pPr>
              <w:spacing w:after="0"/>
            </w:pPr>
            <w:r>
              <w:rPr>
                <w:rFonts w:ascii="Courier New" w:hAnsi="Courier New"/>
                <w:color w:val="462814"/>
                <w:sz w:val="18"/>
              </w:rPr>
              <w:t>tarot card style fantasy illustration of an arcane wizard casting a radiant golden spell in a forgotten library, ornate gold leaf art-nouveau border, dark parchment background with burnt edges, rich crimson and antique gold accents, detailed line art, masterwork fantasy illustration --ar 1:1</w:t>
            </w:r>
          </w:p>
        </w:tc>
      </w:tr>
    </w:tbl>
    <w:p>
      <w:pPr>
        <w:pStyle w:val="Heading1"/>
        <w:spacing w:before="320" w:after="120"/>
      </w:pPr>
      <w:r>
        <w:rPr>
          <w:rFonts w:ascii="Cinzel" w:hAnsi="Cinzel"/>
          <w:b/>
          <w:color w:val="D93829"/>
          <w:sz w:val="32"/>
        </w:rPr>
        <w:t>9. Tono de Voz y Guía Editorial</w:t>
      </w:r>
    </w:p>
    <w:p>
      <w:pPr>
        <w:pStyle w:val="ListBullet"/>
        <w:spacing w:after="80"/>
      </w:pPr>
      <w:r>
        <w:rPr>
          <w:rFonts w:ascii="Cinzel" w:hAnsi="Cinzel"/>
          <w:b/>
          <w:color w:val="D93829"/>
          <w:sz w:val="21"/>
        </w:rPr>
        <w:t xml:space="preserve">El Arquetipo de Marca: </w:t>
      </w:r>
      <w:r>
        <w:rPr>
          <w:rFonts w:ascii="EB Garamond" w:hAnsi="EB Garamond"/>
          <w:color w:val="281E19"/>
          <w:sz w:val="21"/>
        </w:rPr>
        <w:t>El 'Maestro de Mazmorra Sabio y Acogedor'. No es un software corporativo frío ni un meme infantil; es el cronista de la taberna que invita a los héroes a forjar su leyenda.</w:t>
      </w:r>
    </w:p>
    <w:p>
      <w:pPr>
        <w:pStyle w:val="ListBullet"/>
        <w:spacing w:after="80"/>
      </w:pPr>
      <w:r>
        <w:rPr>
          <w:rFonts w:ascii="Cinzel" w:hAnsi="Cinzel"/>
          <w:b/>
          <w:color w:val="D93829"/>
          <w:sz w:val="21"/>
        </w:rPr>
        <w:t xml:space="preserve">Vocabulario Recomendado: </w:t>
      </w:r>
      <w:r>
        <w:rPr>
          <w:rFonts w:ascii="EB Garamond" w:hAnsi="EB Garamond"/>
          <w:color w:val="281E19"/>
          <w:sz w:val="21"/>
        </w:rPr>
        <w:t>Preferir 'Grimorio' antes que 'Dashboard'; 'Campaña' antes que 'Sala de chat'; 'Aventurero' antes que 'Usuario'; 'Maestría' antes que 'Admin'; 'Iniciativa' antes que 'Turno'.</w:t>
      </w:r>
    </w:p>
    <w:p>
      <w:pPr>
        <w:pStyle w:val="ListBullet"/>
        <w:spacing w:after="80"/>
      </w:pPr>
      <w:r>
        <w:rPr>
          <w:rFonts w:ascii="Cinzel" w:hAnsi="Cinzel"/>
          <w:b/>
          <w:color w:val="D93829"/>
          <w:sz w:val="21"/>
        </w:rPr>
        <w:t xml:space="preserve">Estructura de Anuncios: </w:t>
      </w:r>
      <w:r>
        <w:rPr>
          <w:rFonts w:ascii="EB Garamond" w:hAnsi="EB Garamond"/>
          <w:color w:val="281E19"/>
          <w:sz w:val="21"/>
        </w:rPr>
        <w:t>Comenzar con una apelación inmersiva ('¿Tregua entre mazmorras?', 'Héroes del reino...'), presentar la propuesta de valor con autoridad y cerrar con un llamado a la acción claro y noble ('Únete a la mesa', 'Reclama tu hoja de personaje').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inzel" w:hAnsi="Cinzel"/>
        <w:color w:val="A88D6C"/>
        <w:sz w:val="17"/>
      </w:rPr>
      <w:t>D&amp;D Companion • Manual de Identidad Visual | Idoneus Software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