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hint="default" w:ascii="Lato" w:hAnsi="Lato" w:eastAsia="Lato" w:cs="Lato"/>
          <w:b/>
          <w:bCs/>
          <w:i w:val="0"/>
          <w:iCs w:val="0"/>
          <w:caps w:val="0"/>
          <w:color w:val="2D3B45"/>
          <w:spacing w:val="0"/>
          <w:sz w:val="37"/>
          <w:szCs w:val="37"/>
          <w:shd w:val="clear" w:fill="FFFFFF"/>
        </w:rPr>
      </w:pPr>
    </w:p>
    <w:p>
      <w:pPr>
        <w:spacing w:line="240" w:lineRule="auto"/>
        <w:jc w:val="center"/>
        <w:rPr>
          <w:rFonts w:hint="default" w:ascii="Lato" w:hAnsi="Lato" w:eastAsia="Lato" w:cs="Lato"/>
          <w:b/>
          <w:bCs/>
          <w:i w:val="0"/>
          <w:iCs w:val="0"/>
          <w:caps w:val="0"/>
          <w:color w:val="2D3B45"/>
          <w:spacing w:val="0"/>
          <w:sz w:val="37"/>
          <w:szCs w:val="37"/>
          <w:shd w:val="clear" w:fill="FFFFFF"/>
        </w:rPr>
      </w:pPr>
      <w:r>
        <w:rPr>
          <w:rFonts w:hint="default" w:ascii="Lato" w:hAnsi="Lato" w:eastAsia="Lato" w:cs="Lato"/>
          <w:b/>
          <w:bCs/>
          <w:i w:val="0"/>
          <w:iCs w:val="0"/>
          <w:caps w:val="0"/>
          <w:color w:val="2D3B45"/>
          <w:spacing w:val="0"/>
          <w:sz w:val="37"/>
          <w:szCs w:val="37"/>
          <w:shd w:val="clear" w:fill="FFFFFF"/>
        </w:rPr>
        <w:t>Instruction for the Assignment</w:t>
      </w:r>
      <w:r>
        <w:rPr>
          <w:rFonts w:hint="default" w:ascii="Lato" w:hAnsi="Lato" w:eastAsia="Lato" w:cs="Lato"/>
          <w:b/>
          <w:bCs/>
          <w:i w:val="0"/>
          <w:iCs w:val="0"/>
          <w:caps w:val="0"/>
          <w:color w:val="2D3B45"/>
          <w:spacing w:val="0"/>
          <w:sz w:val="37"/>
          <w:szCs w:val="37"/>
          <w:shd w:val="clear" w:fill="FFFFFF"/>
        </w:rPr>
        <w:br w:type="textWrapping"/>
      </w:r>
    </w:p>
    <w:p>
      <w:pPr>
        <w:spacing w:line="240" w:lineRule="auto"/>
        <w:ind w:firstLine="560" w:firstLineChars="200"/>
        <w:jc w:val="left"/>
        <w:rPr>
          <w:rFonts w:ascii="Lato" w:hAnsi="Lato" w:eastAsia="Lato" w:cs="Lato"/>
          <w:i w:val="0"/>
          <w:iCs w:val="0"/>
          <w:caps w:val="0"/>
          <w:color w:val="2D3B45"/>
          <w:spacing w:val="0"/>
          <w:sz w:val="28"/>
          <w:szCs w:val="28"/>
          <w:shd w:val="clear" w:fill="FFFFFF"/>
        </w:rPr>
      </w:pPr>
      <w:r>
        <w:rPr>
          <w:rFonts w:ascii="Lato" w:hAnsi="Lato" w:eastAsia="Lato" w:cs="Lato"/>
          <w:i w:val="0"/>
          <w:iCs w:val="0"/>
          <w:caps w:val="0"/>
          <w:color w:val="2D3B45"/>
          <w:spacing w:val="0"/>
          <w:sz w:val="28"/>
          <w:szCs w:val="28"/>
          <w:shd w:val="clear" w:fill="FFFFFF"/>
        </w:rPr>
        <w:t>Look for  one example of a curricula from the internet. Curricula can be from any school, any country. Submit  one example here in this module. We will evaluate the curriculum next meeting</w:t>
      </w:r>
      <w:r>
        <w:rPr>
          <w:rFonts w:ascii="Lato" w:hAnsi="Lato" w:eastAsia="Lato" w:cs="Lato"/>
          <w:i w:val="0"/>
          <w:iCs w:val="0"/>
          <w:caps w:val="0"/>
          <w:color w:val="2D3B45"/>
          <w:spacing w:val="0"/>
          <w:sz w:val="28"/>
          <w:szCs w:val="28"/>
          <w:shd w:val="clear" w:fill="FFFFFF"/>
        </w:rPr>
        <w:br w:type="textWrapping"/>
      </w:r>
      <w:r>
        <w:rPr>
          <w:rFonts w:ascii="Lato" w:hAnsi="Lato" w:eastAsia="Lato" w:cs="Lato"/>
          <w:i w:val="0"/>
          <w:iCs w:val="0"/>
          <w:caps w:val="0"/>
          <w:color w:val="2D3B45"/>
          <w:spacing w:val="0"/>
          <w:sz w:val="28"/>
          <w:szCs w:val="28"/>
          <w:shd w:val="clear" w:fill="FFFFFF"/>
        </w:rPr>
        <w:br w:type="textWrapping"/>
      </w:r>
      <w:r>
        <w:rPr>
          <w:rFonts w:hint="eastAsia"/>
          <w:b/>
          <w:bCs/>
          <w:sz w:val="36"/>
          <w:szCs w:val="36"/>
          <w:u w:val="single"/>
        </w:rPr>
        <w:t>1) Basic education</w:t>
      </w:r>
      <w:r>
        <w:rPr>
          <w:rFonts w:ascii="Lato" w:hAnsi="Lato" w:eastAsia="Lato" w:cs="Lato"/>
          <w:i w:val="0"/>
          <w:iCs w:val="0"/>
          <w:caps w:val="0"/>
          <w:color w:val="2D3B45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Lato" w:hAnsi="Lato" w:cs="Lato"/>
          <w:b w:val="0"/>
          <w:bCs w:val="0"/>
          <w:i w:val="0"/>
          <w:iCs w:val="0"/>
          <w:caps w:val="0"/>
          <w:color w:val="2D3B45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6129655" cy="4604385"/>
            <wp:effectExtent l="0" t="0" r="4445" b="5715"/>
            <wp:docPr id="5" name="图片 5" descr="BasicCurricu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asicCurriculu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 w:eastAsia="Lato" w:cs="Lato"/>
          <w:i w:val="0"/>
          <w:iCs w:val="0"/>
          <w:caps w:val="0"/>
          <w:color w:val="2D3B45"/>
          <w:spacing w:val="0"/>
          <w:sz w:val="28"/>
          <w:szCs w:val="28"/>
          <w:shd w:val="clear" w:fill="FFFFFF"/>
        </w:rPr>
        <w:br w:type="textWrapping"/>
      </w:r>
    </w:p>
    <w:p>
      <w:pPr>
        <w:numPr>
          <w:ilvl w:val="0"/>
          <w:numId w:val="0"/>
        </w:numPr>
        <w:spacing w:line="240" w:lineRule="auto"/>
      </w:pP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>2.</w:t>
      </w:r>
      <w:r>
        <w:rPr>
          <w:rFonts w:hint="eastAsia"/>
          <w:b/>
          <w:bCs/>
          <w:sz w:val="36"/>
          <w:szCs w:val="36"/>
          <w:u w:val="single"/>
        </w:rPr>
        <w:t xml:space="preserve">Secondary education  </w:t>
      </w:r>
      <w:r>
        <w:rPr>
          <w:rFonts w:hint="eastAsia"/>
          <w:b/>
          <w:bCs/>
          <w:sz w:val="30"/>
          <w:szCs w:val="30"/>
          <w:u w:val="single"/>
        </w:rPr>
        <w:br w:type="textWrapping"/>
      </w:r>
      <w:r>
        <w:drawing>
          <wp:inline distT="0" distB="0" distL="114300" distR="114300">
            <wp:extent cx="5579110" cy="3329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36"/>
          <w:szCs w:val="36"/>
          <w:u w:val="single"/>
          <w:shd w:val="clear" w:fill="FFFFFF"/>
        </w:rPr>
        <w:t>2.1.) Middle school/Junior high school</w:t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30"/>
          <w:szCs w:val="30"/>
          <w:shd w:val="clear" w:fill="FFFFFF"/>
        </w:rPr>
        <w:t> </w:t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30"/>
          <w:szCs w:val="30"/>
          <w:shd w:val="clear" w:fill="FFFFFF"/>
        </w:rPr>
        <w:br w:type="textWrapping"/>
      </w:r>
      <w:r>
        <w:drawing>
          <wp:inline distT="0" distB="0" distL="114300" distR="114300">
            <wp:extent cx="6355715" cy="457644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36"/>
          <w:szCs w:val="36"/>
          <w:u w:val="single"/>
          <w:shd w:val="clear" w:fill="FFFFFF"/>
        </w:rPr>
        <w:t>2.2.) Senior high school</w:t>
      </w:r>
      <w:r>
        <w:br w:type="textWrapping"/>
      </w:r>
      <w:r>
        <w:drawing>
          <wp:inline distT="0" distB="0" distL="114300" distR="114300">
            <wp:extent cx="5273675" cy="365315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</w:pPr>
      <w:r>
        <w:rPr>
          <w:rFonts w:hint="eastAsia" w:ascii="Calibri" w:hAnsi="Calibri" w:eastAsia="宋体" w:cs="Calibri"/>
          <w:b/>
          <w:bCs/>
          <w:i w:val="0"/>
          <w:iCs w:val="0"/>
          <w:caps w:val="0"/>
          <w:color w:val="2D3B45"/>
          <w:spacing w:val="0"/>
          <w:sz w:val="36"/>
          <w:szCs w:val="36"/>
          <w:u w:val="single"/>
          <w:shd w:val="clear" w:fill="FFFFFF"/>
          <w:lang w:val="en-US" w:eastAsia="zh-CN"/>
        </w:rPr>
        <w:t>3.</w:t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36"/>
          <w:szCs w:val="36"/>
          <w:u w:val="single"/>
          <w:shd w:val="clear" w:fill="FFFFFF"/>
        </w:rPr>
        <w:t>Tertiary education</w:t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drawing>
          <wp:inline distT="0" distB="0" distL="114300" distR="114300">
            <wp:extent cx="5269865" cy="3699510"/>
            <wp:effectExtent l="0" t="0" r="6985" b="152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36"/>
          <w:szCs w:val="36"/>
          <w:u w:val="single"/>
          <w:shd w:val="clear" w:fill="FFFFFF"/>
        </w:rPr>
        <w:t>4) Graduate education</w:t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30"/>
          <w:szCs w:val="30"/>
          <w:u w:val="single"/>
          <w:shd w:val="clear" w:fill="FFFFFF"/>
        </w:rPr>
        <w:br w:type="textWrapping"/>
      </w:r>
      <w:bookmarkStart w:id="1" w:name="_GoBack"/>
      <w:r>
        <w:drawing>
          <wp:inline distT="0" distB="0" distL="114300" distR="114300">
            <wp:extent cx="5949315" cy="805116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805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>
        <w:br w:type="textWrapping"/>
      </w:r>
      <w:r>
        <w:br w:type="textWrapping"/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36"/>
          <w:szCs w:val="36"/>
          <w:u w:val="single"/>
          <w:shd w:val="clear" w:fill="FFFFFF"/>
        </w:rPr>
        <w:t>5) Special education (school for the deaf, children with autism, etc.)</w:t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30"/>
          <w:szCs w:val="30"/>
          <w:u w:val="single"/>
          <w:shd w:val="clear" w:fill="FFFFFF"/>
        </w:rPr>
        <w:br w:type="textWrapping"/>
      </w:r>
      <w:r>
        <w:drawing>
          <wp:inline distT="0" distB="0" distL="114300" distR="114300">
            <wp:extent cx="5271135" cy="3432810"/>
            <wp:effectExtent l="0" t="0" r="5715" b="152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36"/>
          <w:szCs w:val="36"/>
          <w:u w:val="single"/>
          <w:shd w:val="clear" w:fill="FFFFFF"/>
        </w:rPr>
        <w:t>6) Global or international education</w:t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drawing>
          <wp:inline distT="0" distB="0" distL="114300" distR="114300">
            <wp:extent cx="5747385" cy="3940810"/>
            <wp:effectExtent l="0" t="0" r="5715" b="25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Lato" w:cs="Calibri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t>7) Technical -Vocational education</w:t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drawing>
          <wp:inline distT="0" distB="0" distL="114300" distR="114300">
            <wp:extent cx="6343015" cy="3740150"/>
            <wp:effectExtent l="0" t="0" r="635" b="1270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t xml:space="preserve">8) </w:t>
      </w:r>
      <w:bookmarkStart w:id="0" w:name="OLE_LINK1"/>
      <w:r>
        <w:rPr>
          <w:rFonts w:hint="eastAsia"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t>Public school education</w:t>
      </w:r>
      <w:bookmarkEnd w:id="0"/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Lato" w:hAnsi="Lato" w:eastAsia="宋体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  <w:lang w:val="en-US" w:eastAsia="zh-CN"/>
        </w:rPr>
      </w:pPr>
      <w:r>
        <w:rPr>
          <w:rFonts w:hint="eastAsia" w:ascii="Lato" w:hAnsi="Lato" w:eastAsia="宋体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  <w:lang w:val="en-US" w:eastAsia="zh-CN"/>
        </w:rPr>
        <w:t>School/Yr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</w:pPr>
      <w:r>
        <w:drawing>
          <wp:inline distT="0" distB="0" distL="114300" distR="114300">
            <wp:extent cx="5908675" cy="3498850"/>
            <wp:effectExtent l="0" t="0" r="15875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</w:pP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t>9) Private school education</w:t>
      </w:r>
    </w:p>
    <w:p>
      <w:pPr>
        <w:numPr>
          <w:ilvl w:val="0"/>
          <w:numId w:val="0"/>
        </w:numPr>
        <w:spacing w:line="240" w:lineRule="auto"/>
        <w:ind w:leftChars="0"/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</w:pPr>
      <w:r>
        <w:drawing>
          <wp:inline distT="0" distB="0" distL="114300" distR="114300">
            <wp:extent cx="5271135" cy="4074795"/>
            <wp:effectExtent l="0" t="0" r="5715" b="19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  <w:lang w:val="en-US" w:eastAsia="zh-CN"/>
        </w:rPr>
      </w:pP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hint="eastAsia" w:ascii="Lato" w:hAnsi="Lato" w:eastAsia="宋体" w:cs="Lato"/>
          <w:b/>
          <w:bCs/>
          <w:i w:val="0"/>
          <w:iCs w:val="0"/>
          <w:color w:val="2D3B45"/>
          <w:spacing w:val="0"/>
          <w:sz w:val="28"/>
          <w:szCs w:val="28"/>
          <w:u w:val="single"/>
          <w:shd w:val="clear" w:fill="FFFFFF"/>
          <w:lang w:val="en-US" w:eastAsia="zh-CN"/>
        </w:rPr>
        <w:t>R</w:t>
      </w:r>
      <w:r>
        <w:rPr>
          <w:rFonts w:hint="eastAsia" w:ascii="Lato" w:hAnsi="Lato" w:eastAsia="宋体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  <w:lang w:val="en-US" w:eastAsia="zh-CN"/>
        </w:rPr>
        <w:t>efe: https://wenr.wes.org/2016/10/alike-unequal-quality-credentials-chinas-growing-international-high-school-sector</w:t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br w:type="textWrapping"/>
      </w:r>
      <w:r>
        <w:rPr>
          <w:rFonts w:ascii="Lato" w:hAnsi="Lato" w:eastAsia="Lato" w:cs="Lato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t>10) Religious school (Catholic, Protestant, Anglican, Muslim etc.)</w:t>
      </w:r>
      <w:r>
        <w:drawing>
          <wp:inline distT="0" distB="0" distL="114300" distR="114300">
            <wp:extent cx="6290945" cy="3701415"/>
            <wp:effectExtent l="0" t="0" r="14605" b="133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ato">
    <w:panose1 w:val="020F0502020204030203"/>
    <w:charset w:val="00"/>
    <w:family w:val="auto"/>
    <w:pitch w:val="default"/>
    <w:sig w:usb0="E10002FF" w:usb1="5000E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E41363"/>
    <w:rsid w:val="10FC05DB"/>
    <w:rsid w:val="30762C5D"/>
    <w:rsid w:val="63A25504"/>
    <w:rsid w:val="77E41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2021-10-02T05:04:00Z</dcterms:created>
  <dc:creator>Arvine</dc:creator>
  <cp:lastModifiedBy>Rhemz Etnartenep Salha</cp:lastModifiedBy>
  <dcterms:modified xsi:type="dcterms:W3CDTF">2021-10-24T01:16:01Z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EB626B7DA16B4DBBBFCBE305DC349CD0</vt:lpwstr>
  </property>
</Properties>
</file>