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sz w:val="24"/>
          <w:szCs w:val="24"/>
        </w:rPr>
      </w:pPr>
      <w:r>
        <w:rPr>
          <w:b/>
          <w:sz w:val="28"/>
          <w:szCs w:val="28"/>
        </w:rPr>
        <w:t>Gulf Real Estate Properties</w:t>
      </w:r>
    </w:p>
    <w:p>
      <w:pPr>
        <w:spacing w:after="0"/>
        <w:jc w:val="center"/>
        <w:rPr>
          <w:sz w:val="24"/>
          <w:szCs w:val="24"/>
        </w:rPr>
      </w:pPr>
    </w:p>
    <w:p>
      <w:pPr>
        <w:spacing w:after="0"/>
        <w:rPr>
          <w:sz w:val="24"/>
          <w:szCs w:val="24"/>
        </w:rPr>
      </w:pPr>
      <w:r>
        <w:rPr>
          <w:sz w:val="24"/>
          <w:szCs w:val="24"/>
        </w:rPr>
        <w:t xml:space="preserve">Gulf Real Estate Properties, Inc., is a real estate firm located in southeast Florida. The company, which advertises itself as “expert in the real estate market,” monitors condominium sales by collecting data on location, list price, sale price, and number of days it takes to sell each unit. Each condominium is classified as </w:t>
      </w:r>
      <w:r>
        <w:rPr>
          <w:i/>
          <w:sz w:val="24"/>
          <w:szCs w:val="24"/>
        </w:rPr>
        <w:t xml:space="preserve">Gulf View </w:t>
      </w:r>
      <w:r>
        <w:rPr>
          <w:sz w:val="24"/>
          <w:szCs w:val="24"/>
        </w:rPr>
        <w:t xml:space="preserve">if it is located directly on the Gulf of Mexico or </w:t>
      </w:r>
      <w:r>
        <w:rPr>
          <w:i/>
          <w:sz w:val="24"/>
          <w:szCs w:val="24"/>
        </w:rPr>
        <w:t xml:space="preserve">No Gulf View </w:t>
      </w:r>
      <w:r>
        <w:rPr>
          <w:sz w:val="24"/>
          <w:szCs w:val="24"/>
        </w:rPr>
        <w:t>is it is located on the bay or a golf course, near but not on the Gulf. Sample data from the Multiple Listing Service in Naples, Florida, provided recent sales data for 40 Gulf View condominiums and 18 No Gulf View condominiums. Prices are in thousands of dollars. The data are shown in the table below.</w:t>
      </w:r>
    </w:p>
    <w:p>
      <w:pPr>
        <w:spacing w:after="0"/>
        <w:rPr>
          <w:sz w:val="24"/>
          <w:szCs w:val="24"/>
        </w:rPr>
      </w:pPr>
    </w:p>
    <w:p>
      <w:pPr>
        <w:spacing w:after="0"/>
        <w:rPr>
          <w:sz w:val="24"/>
          <w:szCs w:val="24"/>
        </w:rPr>
      </w:pPr>
      <w:r>
        <w:rPr>
          <w:rFonts w:hint="default"/>
          <w:sz w:val="24"/>
          <w:szCs w:val="24"/>
        </w:rPr>
        <w:t>海湾房地产</w:t>
      </w:r>
    </w:p>
    <w:p>
      <w:pPr>
        <w:spacing w:after="0"/>
        <w:rPr>
          <w:rFonts w:hint="default"/>
          <w:sz w:val="24"/>
          <w:szCs w:val="24"/>
        </w:rPr>
      </w:pPr>
      <w:r>
        <w:rPr>
          <w:rFonts w:hint="default"/>
          <w:sz w:val="24"/>
          <w:szCs w:val="24"/>
        </w:rPr>
        <w:t>海湾房地产房地产，公司，是一个房地产公司位于佛罗里达州东南部。该公司宣称自己是“房地产市场专家”，通过收集位置、标价、售价和售出每套公寓所需的天数等数据来监控公寓的销售情况。每个公寓被分类为海湾的看法，如果它是位于墨西哥湾直接或没有海湾的看法是它位于海湾或高尔夫球场，附近但不是在海湾。样本数据来自佛罗里达州那不勒斯的multi Listing Service，提供了40套海湾景观公寓和18套没有海湾景观公寓的近期销售数据。价格以数千美元计。数据如下表所示。</w:t>
      </w:r>
    </w:p>
    <w:p>
      <w:pPr>
        <w:spacing w:after="0"/>
        <w:rPr>
          <w:sz w:val="24"/>
          <w:szCs w:val="24"/>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6"/>
        <w:gridCol w:w="1596"/>
        <w:gridCol w:w="1596"/>
        <w:gridCol w:w="1596"/>
        <w:gridCol w:w="1596"/>
        <w:gridCol w:w="1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gridSpan w:val="3"/>
          </w:tcPr>
          <w:p>
            <w:pPr>
              <w:spacing w:after="0" w:line="240" w:lineRule="auto"/>
              <w:jc w:val="center"/>
              <w:rPr>
                <w:b/>
                <w:sz w:val="24"/>
                <w:szCs w:val="24"/>
              </w:rPr>
            </w:pPr>
            <w:r>
              <w:rPr>
                <w:b/>
                <w:sz w:val="24"/>
                <w:szCs w:val="24"/>
              </w:rPr>
              <w:t>Gulf View Condominiums</w:t>
            </w:r>
          </w:p>
        </w:tc>
        <w:tc>
          <w:tcPr>
            <w:tcW w:w="4788" w:type="dxa"/>
            <w:gridSpan w:val="3"/>
          </w:tcPr>
          <w:p>
            <w:pPr>
              <w:spacing w:after="0" w:line="240" w:lineRule="auto"/>
              <w:jc w:val="center"/>
              <w:rPr>
                <w:b/>
                <w:sz w:val="24"/>
                <w:szCs w:val="24"/>
              </w:rPr>
            </w:pPr>
            <w:r>
              <w:rPr>
                <w:b/>
                <w:sz w:val="24"/>
                <w:szCs w:val="24"/>
              </w:rPr>
              <w:t>No Gulf View Condominiums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spacing w:after="0" w:line="240" w:lineRule="auto"/>
              <w:jc w:val="center"/>
              <w:rPr>
                <w:b/>
                <w:sz w:val="24"/>
                <w:szCs w:val="24"/>
              </w:rPr>
            </w:pPr>
            <w:r>
              <w:rPr>
                <w:b/>
                <w:sz w:val="24"/>
                <w:szCs w:val="24"/>
              </w:rPr>
              <w:t>List Price</w:t>
            </w:r>
          </w:p>
        </w:tc>
        <w:tc>
          <w:tcPr>
            <w:tcW w:w="1596" w:type="dxa"/>
          </w:tcPr>
          <w:p>
            <w:pPr>
              <w:spacing w:after="0" w:line="240" w:lineRule="auto"/>
              <w:jc w:val="center"/>
              <w:rPr>
                <w:b/>
                <w:sz w:val="24"/>
                <w:szCs w:val="24"/>
              </w:rPr>
            </w:pPr>
            <w:r>
              <w:rPr>
                <w:b/>
                <w:sz w:val="24"/>
                <w:szCs w:val="24"/>
              </w:rPr>
              <w:t>Sale Price</w:t>
            </w:r>
          </w:p>
        </w:tc>
        <w:tc>
          <w:tcPr>
            <w:tcW w:w="1596" w:type="dxa"/>
          </w:tcPr>
          <w:p>
            <w:pPr>
              <w:spacing w:after="0" w:line="240" w:lineRule="auto"/>
              <w:jc w:val="center"/>
              <w:rPr>
                <w:b/>
                <w:sz w:val="24"/>
                <w:szCs w:val="24"/>
              </w:rPr>
            </w:pPr>
            <w:r>
              <w:rPr>
                <w:b/>
                <w:sz w:val="24"/>
                <w:szCs w:val="24"/>
              </w:rPr>
              <w:t>Days to Sell</w:t>
            </w:r>
          </w:p>
        </w:tc>
        <w:tc>
          <w:tcPr>
            <w:tcW w:w="1596" w:type="dxa"/>
          </w:tcPr>
          <w:p>
            <w:pPr>
              <w:spacing w:after="0" w:line="240" w:lineRule="auto"/>
              <w:jc w:val="center"/>
              <w:rPr>
                <w:b/>
                <w:sz w:val="24"/>
                <w:szCs w:val="24"/>
              </w:rPr>
            </w:pPr>
            <w:r>
              <w:rPr>
                <w:b/>
                <w:sz w:val="24"/>
                <w:szCs w:val="24"/>
              </w:rPr>
              <w:t>List Price</w:t>
            </w:r>
          </w:p>
        </w:tc>
        <w:tc>
          <w:tcPr>
            <w:tcW w:w="1596" w:type="dxa"/>
          </w:tcPr>
          <w:p>
            <w:pPr>
              <w:spacing w:after="0" w:line="240" w:lineRule="auto"/>
              <w:jc w:val="center"/>
              <w:rPr>
                <w:b/>
                <w:sz w:val="24"/>
                <w:szCs w:val="24"/>
              </w:rPr>
            </w:pPr>
            <w:r>
              <w:rPr>
                <w:b/>
                <w:sz w:val="24"/>
                <w:szCs w:val="24"/>
              </w:rPr>
              <w:t>Sale Price</w:t>
            </w:r>
          </w:p>
        </w:tc>
        <w:tc>
          <w:tcPr>
            <w:tcW w:w="1596" w:type="dxa"/>
          </w:tcPr>
          <w:p>
            <w:pPr>
              <w:spacing w:after="0" w:line="240" w:lineRule="auto"/>
              <w:jc w:val="center"/>
              <w:rPr>
                <w:b/>
                <w:sz w:val="24"/>
                <w:szCs w:val="24"/>
              </w:rPr>
            </w:pPr>
            <w:r>
              <w:rPr>
                <w:b/>
                <w:sz w:val="24"/>
                <w:szCs w:val="24"/>
              </w:rPr>
              <w:t>Days to Sell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spacing w:after="0" w:line="240" w:lineRule="auto"/>
              <w:jc w:val="center"/>
              <w:rPr>
                <w:sz w:val="24"/>
                <w:szCs w:val="24"/>
              </w:rPr>
            </w:pPr>
            <w:r>
              <w:rPr>
                <w:sz w:val="24"/>
                <w:szCs w:val="24"/>
              </w:rPr>
              <w:t>495.0</w:t>
            </w:r>
          </w:p>
        </w:tc>
        <w:tc>
          <w:tcPr>
            <w:tcW w:w="1596" w:type="dxa"/>
          </w:tcPr>
          <w:p>
            <w:pPr>
              <w:spacing w:after="0" w:line="240" w:lineRule="auto"/>
              <w:jc w:val="center"/>
              <w:rPr>
                <w:sz w:val="24"/>
                <w:szCs w:val="24"/>
              </w:rPr>
            </w:pPr>
            <w:r>
              <w:rPr>
                <w:sz w:val="24"/>
                <w:szCs w:val="24"/>
              </w:rPr>
              <w:t>475.0</w:t>
            </w:r>
          </w:p>
        </w:tc>
        <w:tc>
          <w:tcPr>
            <w:tcW w:w="1596" w:type="dxa"/>
          </w:tcPr>
          <w:p>
            <w:pPr>
              <w:spacing w:after="0" w:line="240" w:lineRule="auto"/>
              <w:jc w:val="center"/>
              <w:rPr>
                <w:sz w:val="24"/>
                <w:szCs w:val="24"/>
              </w:rPr>
            </w:pPr>
            <w:r>
              <w:rPr>
                <w:sz w:val="24"/>
                <w:szCs w:val="24"/>
              </w:rPr>
              <w:t>130</w:t>
            </w:r>
          </w:p>
        </w:tc>
        <w:tc>
          <w:tcPr>
            <w:tcW w:w="1596" w:type="dxa"/>
          </w:tcPr>
          <w:p>
            <w:pPr>
              <w:spacing w:after="0" w:line="240" w:lineRule="auto"/>
              <w:jc w:val="center"/>
              <w:rPr>
                <w:sz w:val="24"/>
                <w:szCs w:val="24"/>
              </w:rPr>
            </w:pPr>
            <w:r>
              <w:rPr>
                <w:sz w:val="24"/>
                <w:szCs w:val="24"/>
              </w:rPr>
              <w:t>217.0</w:t>
            </w:r>
          </w:p>
        </w:tc>
        <w:tc>
          <w:tcPr>
            <w:tcW w:w="1596" w:type="dxa"/>
          </w:tcPr>
          <w:p>
            <w:pPr>
              <w:spacing w:after="0" w:line="240" w:lineRule="auto"/>
              <w:jc w:val="center"/>
              <w:rPr>
                <w:sz w:val="24"/>
                <w:szCs w:val="24"/>
              </w:rPr>
            </w:pPr>
            <w:r>
              <w:rPr>
                <w:sz w:val="24"/>
                <w:szCs w:val="24"/>
              </w:rPr>
              <w:t>217.0</w:t>
            </w:r>
          </w:p>
        </w:tc>
        <w:tc>
          <w:tcPr>
            <w:tcW w:w="1596" w:type="dxa"/>
          </w:tcPr>
          <w:p>
            <w:pPr>
              <w:spacing w:after="0" w:line="240" w:lineRule="auto"/>
              <w:jc w:val="center"/>
              <w:rPr>
                <w:sz w:val="24"/>
                <w:szCs w:val="24"/>
              </w:rPr>
            </w:pPr>
            <w:r>
              <w:rPr>
                <w:sz w:val="24"/>
                <w:szCs w:val="24"/>
              </w:rPr>
              <w:t>182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spacing w:after="0" w:line="240" w:lineRule="auto"/>
              <w:jc w:val="center"/>
              <w:rPr>
                <w:sz w:val="24"/>
                <w:szCs w:val="24"/>
              </w:rPr>
            </w:pPr>
            <w:r>
              <w:rPr>
                <w:sz w:val="24"/>
                <w:szCs w:val="24"/>
              </w:rPr>
              <w:t>379.0</w:t>
            </w:r>
          </w:p>
        </w:tc>
        <w:tc>
          <w:tcPr>
            <w:tcW w:w="1596" w:type="dxa"/>
          </w:tcPr>
          <w:p>
            <w:pPr>
              <w:spacing w:after="0" w:line="240" w:lineRule="auto"/>
              <w:jc w:val="center"/>
              <w:rPr>
                <w:sz w:val="24"/>
                <w:szCs w:val="24"/>
              </w:rPr>
            </w:pPr>
            <w:r>
              <w:rPr>
                <w:sz w:val="24"/>
                <w:szCs w:val="24"/>
              </w:rPr>
              <w:t>350.0</w:t>
            </w:r>
          </w:p>
        </w:tc>
        <w:tc>
          <w:tcPr>
            <w:tcW w:w="1596" w:type="dxa"/>
          </w:tcPr>
          <w:p>
            <w:pPr>
              <w:spacing w:after="0" w:line="240" w:lineRule="auto"/>
              <w:jc w:val="center"/>
              <w:rPr>
                <w:sz w:val="24"/>
                <w:szCs w:val="24"/>
              </w:rPr>
            </w:pPr>
            <w:r>
              <w:rPr>
                <w:sz w:val="24"/>
                <w:szCs w:val="24"/>
              </w:rPr>
              <w:t>71</w:t>
            </w:r>
          </w:p>
        </w:tc>
        <w:tc>
          <w:tcPr>
            <w:tcW w:w="1596" w:type="dxa"/>
          </w:tcPr>
          <w:p>
            <w:pPr>
              <w:spacing w:after="0" w:line="240" w:lineRule="auto"/>
              <w:jc w:val="center"/>
              <w:rPr>
                <w:sz w:val="24"/>
                <w:szCs w:val="24"/>
              </w:rPr>
            </w:pPr>
            <w:r>
              <w:rPr>
                <w:sz w:val="24"/>
                <w:szCs w:val="24"/>
              </w:rPr>
              <w:t>148.0</w:t>
            </w:r>
          </w:p>
        </w:tc>
        <w:tc>
          <w:tcPr>
            <w:tcW w:w="1596" w:type="dxa"/>
          </w:tcPr>
          <w:p>
            <w:pPr>
              <w:spacing w:after="0" w:line="240" w:lineRule="auto"/>
              <w:jc w:val="center"/>
              <w:rPr>
                <w:sz w:val="24"/>
                <w:szCs w:val="24"/>
              </w:rPr>
            </w:pPr>
            <w:r>
              <w:rPr>
                <w:sz w:val="24"/>
                <w:szCs w:val="24"/>
              </w:rPr>
              <w:t>135.5</w:t>
            </w:r>
          </w:p>
        </w:tc>
        <w:tc>
          <w:tcPr>
            <w:tcW w:w="1596" w:type="dxa"/>
          </w:tcPr>
          <w:p>
            <w:pPr>
              <w:spacing w:after="0" w:line="240" w:lineRule="auto"/>
              <w:jc w:val="center"/>
              <w:rPr>
                <w:sz w:val="24"/>
                <w:szCs w:val="24"/>
              </w:rPr>
            </w:pPr>
            <w:r>
              <w:rPr>
                <w:sz w:val="24"/>
                <w:szCs w:val="24"/>
              </w:rPr>
              <w:t>338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spacing w:after="0" w:line="240" w:lineRule="auto"/>
              <w:jc w:val="center"/>
              <w:rPr>
                <w:sz w:val="24"/>
                <w:szCs w:val="24"/>
              </w:rPr>
            </w:pPr>
            <w:r>
              <w:rPr>
                <w:sz w:val="24"/>
                <w:szCs w:val="24"/>
              </w:rPr>
              <w:t>529.0</w:t>
            </w:r>
          </w:p>
        </w:tc>
        <w:tc>
          <w:tcPr>
            <w:tcW w:w="1596" w:type="dxa"/>
          </w:tcPr>
          <w:p>
            <w:pPr>
              <w:spacing w:after="0" w:line="240" w:lineRule="auto"/>
              <w:jc w:val="center"/>
              <w:rPr>
                <w:sz w:val="24"/>
                <w:szCs w:val="24"/>
              </w:rPr>
            </w:pPr>
            <w:r>
              <w:rPr>
                <w:sz w:val="24"/>
                <w:szCs w:val="24"/>
              </w:rPr>
              <w:t>519.0</w:t>
            </w:r>
          </w:p>
        </w:tc>
        <w:tc>
          <w:tcPr>
            <w:tcW w:w="1596" w:type="dxa"/>
          </w:tcPr>
          <w:p>
            <w:pPr>
              <w:spacing w:after="0" w:line="240" w:lineRule="auto"/>
              <w:jc w:val="center"/>
              <w:rPr>
                <w:sz w:val="24"/>
                <w:szCs w:val="24"/>
              </w:rPr>
            </w:pPr>
            <w:r>
              <w:rPr>
                <w:sz w:val="24"/>
                <w:szCs w:val="24"/>
              </w:rPr>
              <w:t>85</w:t>
            </w:r>
          </w:p>
        </w:tc>
        <w:tc>
          <w:tcPr>
            <w:tcW w:w="1596" w:type="dxa"/>
          </w:tcPr>
          <w:p>
            <w:pPr>
              <w:spacing w:after="0" w:line="240" w:lineRule="auto"/>
              <w:jc w:val="center"/>
              <w:rPr>
                <w:sz w:val="24"/>
                <w:szCs w:val="24"/>
              </w:rPr>
            </w:pPr>
            <w:r>
              <w:rPr>
                <w:sz w:val="24"/>
                <w:szCs w:val="24"/>
              </w:rPr>
              <w:t>186.5</w:t>
            </w:r>
          </w:p>
        </w:tc>
        <w:tc>
          <w:tcPr>
            <w:tcW w:w="1596" w:type="dxa"/>
          </w:tcPr>
          <w:p>
            <w:pPr>
              <w:spacing w:after="0" w:line="240" w:lineRule="auto"/>
              <w:jc w:val="center"/>
              <w:rPr>
                <w:sz w:val="24"/>
                <w:szCs w:val="24"/>
              </w:rPr>
            </w:pPr>
            <w:r>
              <w:rPr>
                <w:sz w:val="24"/>
                <w:szCs w:val="24"/>
              </w:rPr>
              <w:t>179.0</w:t>
            </w:r>
          </w:p>
        </w:tc>
        <w:tc>
          <w:tcPr>
            <w:tcW w:w="1596" w:type="dxa"/>
          </w:tcPr>
          <w:p>
            <w:pPr>
              <w:spacing w:after="0" w:line="240" w:lineRule="auto"/>
              <w:jc w:val="center"/>
              <w:rPr>
                <w:sz w:val="24"/>
                <w:szCs w:val="24"/>
              </w:rPr>
            </w:pPr>
            <w:r>
              <w:rPr>
                <w:sz w:val="24"/>
                <w:szCs w:val="24"/>
              </w:rPr>
              <w:t>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spacing w:after="0" w:line="240" w:lineRule="auto"/>
              <w:jc w:val="center"/>
              <w:rPr>
                <w:sz w:val="24"/>
                <w:szCs w:val="24"/>
              </w:rPr>
            </w:pPr>
            <w:r>
              <w:rPr>
                <w:sz w:val="24"/>
                <w:szCs w:val="24"/>
              </w:rPr>
              <w:t>552.5</w:t>
            </w:r>
          </w:p>
        </w:tc>
        <w:tc>
          <w:tcPr>
            <w:tcW w:w="1596" w:type="dxa"/>
          </w:tcPr>
          <w:p>
            <w:pPr>
              <w:spacing w:after="0" w:line="240" w:lineRule="auto"/>
              <w:jc w:val="center"/>
              <w:rPr>
                <w:sz w:val="24"/>
                <w:szCs w:val="24"/>
              </w:rPr>
            </w:pPr>
            <w:r>
              <w:rPr>
                <w:sz w:val="24"/>
                <w:szCs w:val="24"/>
              </w:rPr>
              <w:t>534.5</w:t>
            </w:r>
          </w:p>
        </w:tc>
        <w:tc>
          <w:tcPr>
            <w:tcW w:w="1596" w:type="dxa"/>
          </w:tcPr>
          <w:p>
            <w:pPr>
              <w:spacing w:after="0" w:line="240" w:lineRule="auto"/>
              <w:jc w:val="center"/>
              <w:rPr>
                <w:sz w:val="24"/>
                <w:szCs w:val="24"/>
              </w:rPr>
            </w:pPr>
            <w:r>
              <w:rPr>
                <w:sz w:val="24"/>
                <w:szCs w:val="24"/>
              </w:rPr>
              <w:t>95</w:t>
            </w:r>
          </w:p>
        </w:tc>
        <w:tc>
          <w:tcPr>
            <w:tcW w:w="1596" w:type="dxa"/>
          </w:tcPr>
          <w:p>
            <w:pPr>
              <w:spacing w:after="0" w:line="240" w:lineRule="auto"/>
              <w:jc w:val="center"/>
              <w:rPr>
                <w:sz w:val="24"/>
                <w:szCs w:val="24"/>
              </w:rPr>
            </w:pPr>
            <w:r>
              <w:rPr>
                <w:sz w:val="24"/>
                <w:szCs w:val="24"/>
              </w:rPr>
              <w:t>239.0</w:t>
            </w:r>
          </w:p>
        </w:tc>
        <w:tc>
          <w:tcPr>
            <w:tcW w:w="1596" w:type="dxa"/>
          </w:tcPr>
          <w:p>
            <w:pPr>
              <w:spacing w:after="0" w:line="240" w:lineRule="auto"/>
              <w:jc w:val="center"/>
              <w:rPr>
                <w:sz w:val="24"/>
                <w:szCs w:val="24"/>
              </w:rPr>
            </w:pPr>
            <w:r>
              <w:rPr>
                <w:sz w:val="24"/>
                <w:szCs w:val="24"/>
              </w:rPr>
              <w:t>230.0</w:t>
            </w:r>
          </w:p>
        </w:tc>
        <w:tc>
          <w:tcPr>
            <w:tcW w:w="1596" w:type="dxa"/>
          </w:tcPr>
          <w:p>
            <w:pPr>
              <w:spacing w:after="0" w:line="240" w:lineRule="auto"/>
              <w:jc w:val="center"/>
              <w:rPr>
                <w:sz w:val="24"/>
                <w:szCs w:val="24"/>
              </w:rPr>
            </w:pPr>
            <w:r>
              <w:rPr>
                <w:sz w:val="24"/>
                <w:szCs w:val="24"/>
              </w:rP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spacing w:after="0" w:line="240" w:lineRule="auto"/>
              <w:jc w:val="center"/>
              <w:rPr>
                <w:sz w:val="24"/>
                <w:szCs w:val="24"/>
              </w:rPr>
            </w:pPr>
            <w:r>
              <w:rPr>
                <w:sz w:val="24"/>
                <w:szCs w:val="24"/>
              </w:rPr>
              <w:t>334.9</w:t>
            </w:r>
          </w:p>
        </w:tc>
        <w:tc>
          <w:tcPr>
            <w:tcW w:w="1596" w:type="dxa"/>
          </w:tcPr>
          <w:p>
            <w:pPr>
              <w:spacing w:after="0" w:line="240" w:lineRule="auto"/>
              <w:jc w:val="center"/>
              <w:rPr>
                <w:sz w:val="24"/>
                <w:szCs w:val="24"/>
              </w:rPr>
            </w:pPr>
            <w:r>
              <w:rPr>
                <w:sz w:val="24"/>
                <w:szCs w:val="24"/>
              </w:rPr>
              <w:t>334.9</w:t>
            </w:r>
          </w:p>
        </w:tc>
        <w:tc>
          <w:tcPr>
            <w:tcW w:w="1596" w:type="dxa"/>
          </w:tcPr>
          <w:p>
            <w:pPr>
              <w:spacing w:after="0" w:line="240" w:lineRule="auto"/>
              <w:jc w:val="center"/>
              <w:rPr>
                <w:sz w:val="24"/>
                <w:szCs w:val="24"/>
              </w:rPr>
            </w:pPr>
            <w:r>
              <w:rPr>
                <w:sz w:val="24"/>
                <w:szCs w:val="24"/>
              </w:rPr>
              <w:t>119</w:t>
            </w:r>
          </w:p>
        </w:tc>
        <w:tc>
          <w:tcPr>
            <w:tcW w:w="1596" w:type="dxa"/>
          </w:tcPr>
          <w:p>
            <w:pPr>
              <w:spacing w:after="0" w:line="240" w:lineRule="auto"/>
              <w:jc w:val="center"/>
              <w:rPr>
                <w:sz w:val="24"/>
                <w:szCs w:val="24"/>
              </w:rPr>
            </w:pPr>
            <w:r>
              <w:rPr>
                <w:sz w:val="24"/>
                <w:szCs w:val="24"/>
              </w:rPr>
              <w:t>279.0</w:t>
            </w:r>
          </w:p>
        </w:tc>
        <w:tc>
          <w:tcPr>
            <w:tcW w:w="1596" w:type="dxa"/>
          </w:tcPr>
          <w:p>
            <w:pPr>
              <w:spacing w:after="0" w:line="240" w:lineRule="auto"/>
              <w:jc w:val="center"/>
              <w:rPr>
                <w:sz w:val="24"/>
                <w:szCs w:val="24"/>
              </w:rPr>
            </w:pPr>
            <w:r>
              <w:rPr>
                <w:sz w:val="24"/>
                <w:szCs w:val="24"/>
              </w:rPr>
              <w:t>267.5</w:t>
            </w:r>
          </w:p>
        </w:tc>
        <w:tc>
          <w:tcPr>
            <w:tcW w:w="1596" w:type="dxa"/>
          </w:tcPr>
          <w:p>
            <w:pPr>
              <w:spacing w:after="0" w:line="240" w:lineRule="auto"/>
              <w:jc w:val="center"/>
              <w:rPr>
                <w:sz w:val="24"/>
                <w:szCs w:val="24"/>
              </w:rPr>
            </w:pPr>
            <w:r>
              <w:rPr>
                <w:sz w:val="24"/>
                <w:szCs w:val="24"/>
              </w:rPr>
              <w:t>169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spacing w:after="0" w:line="240" w:lineRule="auto"/>
              <w:jc w:val="center"/>
              <w:rPr>
                <w:sz w:val="24"/>
                <w:szCs w:val="24"/>
              </w:rPr>
            </w:pPr>
            <w:r>
              <w:rPr>
                <w:sz w:val="24"/>
                <w:szCs w:val="24"/>
              </w:rPr>
              <w:t>550.0</w:t>
            </w:r>
          </w:p>
        </w:tc>
        <w:tc>
          <w:tcPr>
            <w:tcW w:w="1596" w:type="dxa"/>
          </w:tcPr>
          <w:p>
            <w:pPr>
              <w:spacing w:after="0" w:line="240" w:lineRule="auto"/>
              <w:jc w:val="center"/>
              <w:rPr>
                <w:sz w:val="24"/>
                <w:szCs w:val="24"/>
              </w:rPr>
            </w:pPr>
            <w:r>
              <w:rPr>
                <w:sz w:val="24"/>
                <w:szCs w:val="24"/>
              </w:rPr>
              <w:t>505.0</w:t>
            </w:r>
          </w:p>
        </w:tc>
        <w:tc>
          <w:tcPr>
            <w:tcW w:w="1596" w:type="dxa"/>
          </w:tcPr>
          <w:p>
            <w:pPr>
              <w:spacing w:after="0" w:line="240" w:lineRule="auto"/>
              <w:jc w:val="center"/>
              <w:rPr>
                <w:sz w:val="24"/>
                <w:szCs w:val="24"/>
              </w:rPr>
            </w:pPr>
            <w:r>
              <w:rPr>
                <w:sz w:val="24"/>
                <w:szCs w:val="24"/>
              </w:rPr>
              <w:t>92</w:t>
            </w:r>
          </w:p>
        </w:tc>
        <w:tc>
          <w:tcPr>
            <w:tcW w:w="1596" w:type="dxa"/>
          </w:tcPr>
          <w:p>
            <w:pPr>
              <w:spacing w:after="0" w:line="240" w:lineRule="auto"/>
              <w:jc w:val="center"/>
              <w:rPr>
                <w:sz w:val="24"/>
                <w:szCs w:val="24"/>
              </w:rPr>
            </w:pPr>
            <w:r>
              <w:rPr>
                <w:sz w:val="24"/>
                <w:szCs w:val="24"/>
              </w:rPr>
              <w:t>215.0</w:t>
            </w:r>
          </w:p>
        </w:tc>
        <w:tc>
          <w:tcPr>
            <w:tcW w:w="1596" w:type="dxa"/>
          </w:tcPr>
          <w:p>
            <w:pPr>
              <w:spacing w:after="0" w:line="240" w:lineRule="auto"/>
              <w:jc w:val="center"/>
              <w:rPr>
                <w:sz w:val="24"/>
                <w:szCs w:val="24"/>
              </w:rPr>
            </w:pPr>
            <w:r>
              <w:rPr>
                <w:sz w:val="24"/>
                <w:szCs w:val="24"/>
              </w:rPr>
              <w:t>214.0</w:t>
            </w:r>
          </w:p>
        </w:tc>
        <w:tc>
          <w:tcPr>
            <w:tcW w:w="1596" w:type="dxa"/>
          </w:tcPr>
          <w:p>
            <w:pPr>
              <w:spacing w:after="0" w:line="240" w:lineRule="auto"/>
              <w:jc w:val="center"/>
              <w:rPr>
                <w:sz w:val="24"/>
                <w:szCs w:val="24"/>
              </w:rPr>
            </w:pPr>
            <w:r>
              <w:rPr>
                <w:sz w:val="24"/>
                <w:szCs w:val="24"/>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spacing w:after="0" w:line="240" w:lineRule="auto"/>
              <w:jc w:val="center"/>
              <w:rPr>
                <w:sz w:val="24"/>
                <w:szCs w:val="24"/>
              </w:rPr>
            </w:pPr>
            <w:r>
              <w:rPr>
                <w:sz w:val="24"/>
                <w:szCs w:val="24"/>
              </w:rPr>
              <w:t>169.9</w:t>
            </w:r>
          </w:p>
        </w:tc>
        <w:tc>
          <w:tcPr>
            <w:tcW w:w="1596" w:type="dxa"/>
          </w:tcPr>
          <w:p>
            <w:pPr>
              <w:spacing w:after="0" w:line="240" w:lineRule="auto"/>
              <w:jc w:val="center"/>
              <w:rPr>
                <w:sz w:val="24"/>
                <w:szCs w:val="24"/>
              </w:rPr>
            </w:pPr>
            <w:r>
              <w:rPr>
                <w:sz w:val="24"/>
                <w:szCs w:val="24"/>
              </w:rPr>
              <w:t>165.0</w:t>
            </w:r>
          </w:p>
        </w:tc>
        <w:tc>
          <w:tcPr>
            <w:tcW w:w="1596" w:type="dxa"/>
          </w:tcPr>
          <w:p>
            <w:pPr>
              <w:spacing w:after="0" w:line="240" w:lineRule="auto"/>
              <w:jc w:val="center"/>
              <w:rPr>
                <w:sz w:val="24"/>
                <w:szCs w:val="24"/>
              </w:rPr>
            </w:pPr>
            <w:r>
              <w:rPr>
                <w:sz w:val="24"/>
                <w:szCs w:val="24"/>
              </w:rPr>
              <w:t>197</w:t>
            </w:r>
          </w:p>
        </w:tc>
        <w:tc>
          <w:tcPr>
            <w:tcW w:w="1596" w:type="dxa"/>
          </w:tcPr>
          <w:p>
            <w:pPr>
              <w:spacing w:after="0" w:line="240" w:lineRule="auto"/>
              <w:jc w:val="center"/>
              <w:rPr>
                <w:sz w:val="24"/>
                <w:szCs w:val="24"/>
              </w:rPr>
            </w:pPr>
            <w:r>
              <w:rPr>
                <w:sz w:val="24"/>
                <w:szCs w:val="24"/>
              </w:rPr>
              <w:t>279.0</w:t>
            </w:r>
          </w:p>
        </w:tc>
        <w:tc>
          <w:tcPr>
            <w:tcW w:w="1596" w:type="dxa"/>
          </w:tcPr>
          <w:p>
            <w:pPr>
              <w:spacing w:after="0" w:line="240" w:lineRule="auto"/>
              <w:jc w:val="center"/>
              <w:rPr>
                <w:sz w:val="24"/>
                <w:szCs w:val="24"/>
              </w:rPr>
            </w:pPr>
            <w:r>
              <w:rPr>
                <w:sz w:val="24"/>
                <w:szCs w:val="24"/>
              </w:rPr>
              <w:t>259.0</w:t>
            </w:r>
          </w:p>
        </w:tc>
        <w:tc>
          <w:tcPr>
            <w:tcW w:w="1596" w:type="dxa"/>
          </w:tcPr>
          <w:p>
            <w:pPr>
              <w:spacing w:after="0" w:line="240" w:lineRule="auto"/>
              <w:jc w:val="center"/>
              <w:rPr>
                <w:sz w:val="24"/>
                <w:szCs w:val="24"/>
              </w:rPr>
            </w:pPr>
            <w:r>
              <w:rPr>
                <w:sz w:val="24"/>
                <w:szCs w:val="24"/>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spacing w:after="0" w:line="240" w:lineRule="auto"/>
              <w:jc w:val="center"/>
              <w:rPr>
                <w:sz w:val="24"/>
                <w:szCs w:val="24"/>
              </w:rPr>
            </w:pPr>
            <w:r>
              <w:rPr>
                <w:sz w:val="24"/>
                <w:szCs w:val="24"/>
              </w:rPr>
              <w:t>210.0</w:t>
            </w:r>
          </w:p>
        </w:tc>
        <w:tc>
          <w:tcPr>
            <w:tcW w:w="1596" w:type="dxa"/>
          </w:tcPr>
          <w:p>
            <w:pPr>
              <w:spacing w:after="0" w:line="240" w:lineRule="auto"/>
              <w:jc w:val="center"/>
              <w:rPr>
                <w:sz w:val="24"/>
                <w:szCs w:val="24"/>
              </w:rPr>
            </w:pPr>
            <w:r>
              <w:rPr>
                <w:sz w:val="24"/>
                <w:szCs w:val="24"/>
              </w:rPr>
              <w:t>210.0</w:t>
            </w:r>
          </w:p>
        </w:tc>
        <w:tc>
          <w:tcPr>
            <w:tcW w:w="1596" w:type="dxa"/>
          </w:tcPr>
          <w:p>
            <w:pPr>
              <w:spacing w:after="0" w:line="240" w:lineRule="auto"/>
              <w:jc w:val="center"/>
              <w:rPr>
                <w:sz w:val="24"/>
                <w:szCs w:val="24"/>
              </w:rPr>
            </w:pPr>
            <w:r>
              <w:rPr>
                <w:sz w:val="24"/>
                <w:szCs w:val="24"/>
              </w:rPr>
              <w:t>56</w:t>
            </w:r>
          </w:p>
        </w:tc>
        <w:tc>
          <w:tcPr>
            <w:tcW w:w="1596" w:type="dxa"/>
          </w:tcPr>
          <w:p>
            <w:pPr>
              <w:spacing w:after="0" w:line="240" w:lineRule="auto"/>
              <w:jc w:val="center"/>
              <w:rPr>
                <w:sz w:val="24"/>
                <w:szCs w:val="24"/>
              </w:rPr>
            </w:pPr>
            <w:r>
              <w:rPr>
                <w:sz w:val="24"/>
                <w:szCs w:val="24"/>
              </w:rPr>
              <w:t>179.9</w:t>
            </w:r>
          </w:p>
        </w:tc>
        <w:tc>
          <w:tcPr>
            <w:tcW w:w="1596" w:type="dxa"/>
          </w:tcPr>
          <w:p>
            <w:pPr>
              <w:spacing w:after="0" w:line="240" w:lineRule="auto"/>
              <w:jc w:val="center"/>
              <w:rPr>
                <w:sz w:val="24"/>
                <w:szCs w:val="24"/>
              </w:rPr>
            </w:pPr>
            <w:r>
              <w:rPr>
                <w:sz w:val="24"/>
                <w:szCs w:val="24"/>
              </w:rPr>
              <w:t>176.5</w:t>
            </w:r>
          </w:p>
        </w:tc>
        <w:tc>
          <w:tcPr>
            <w:tcW w:w="1596" w:type="dxa"/>
          </w:tcPr>
          <w:p>
            <w:pPr>
              <w:spacing w:after="0" w:line="240" w:lineRule="auto"/>
              <w:jc w:val="center"/>
              <w:rPr>
                <w:sz w:val="24"/>
                <w:szCs w:val="24"/>
              </w:rPr>
            </w:pPr>
            <w:r>
              <w:rPr>
                <w:sz w:val="24"/>
                <w:szCs w:val="24"/>
              </w:rP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spacing w:after="0" w:line="240" w:lineRule="auto"/>
              <w:jc w:val="center"/>
              <w:rPr>
                <w:sz w:val="24"/>
                <w:szCs w:val="24"/>
              </w:rPr>
            </w:pPr>
            <w:r>
              <w:rPr>
                <w:sz w:val="24"/>
                <w:szCs w:val="24"/>
              </w:rPr>
              <w:t>975.0</w:t>
            </w:r>
          </w:p>
        </w:tc>
        <w:tc>
          <w:tcPr>
            <w:tcW w:w="1596" w:type="dxa"/>
          </w:tcPr>
          <w:p>
            <w:pPr>
              <w:spacing w:after="0" w:line="240" w:lineRule="auto"/>
              <w:jc w:val="center"/>
              <w:rPr>
                <w:sz w:val="24"/>
                <w:szCs w:val="24"/>
              </w:rPr>
            </w:pPr>
            <w:r>
              <w:rPr>
                <w:sz w:val="24"/>
                <w:szCs w:val="24"/>
              </w:rPr>
              <w:t>945.0</w:t>
            </w:r>
          </w:p>
        </w:tc>
        <w:tc>
          <w:tcPr>
            <w:tcW w:w="1596" w:type="dxa"/>
          </w:tcPr>
          <w:p>
            <w:pPr>
              <w:spacing w:after="0" w:line="240" w:lineRule="auto"/>
              <w:jc w:val="center"/>
              <w:rPr>
                <w:sz w:val="24"/>
                <w:szCs w:val="24"/>
              </w:rPr>
            </w:pPr>
            <w:r>
              <w:rPr>
                <w:sz w:val="24"/>
                <w:szCs w:val="24"/>
              </w:rPr>
              <w:t>73</w:t>
            </w:r>
          </w:p>
        </w:tc>
        <w:tc>
          <w:tcPr>
            <w:tcW w:w="1596" w:type="dxa"/>
          </w:tcPr>
          <w:p>
            <w:pPr>
              <w:spacing w:after="0" w:line="240" w:lineRule="auto"/>
              <w:jc w:val="center"/>
              <w:rPr>
                <w:sz w:val="24"/>
                <w:szCs w:val="24"/>
              </w:rPr>
            </w:pPr>
            <w:r>
              <w:rPr>
                <w:sz w:val="24"/>
                <w:szCs w:val="24"/>
              </w:rPr>
              <w:t>149.9</w:t>
            </w:r>
          </w:p>
        </w:tc>
        <w:tc>
          <w:tcPr>
            <w:tcW w:w="1596" w:type="dxa"/>
          </w:tcPr>
          <w:p>
            <w:pPr>
              <w:spacing w:after="0" w:line="240" w:lineRule="auto"/>
              <w:jc w:val="center"/>
              <w:rPr>
                <w:sz w:val="24"/>
                <w:szCs w:val="24"/>
              </w:rPr>
            </w:pPr>
            <w:r>
              <w:rPr>
                <w:sz w:val="24"/>
                <w:szCs w:val="24"/>
              </w:rPr>
              <w:t>144.9</w:t>
            </w:r>
          </w:p>
        </w:tc>
        <w:tc>
          <w:tcPr>
            <w:tcW w:w="1596" w:type="dxa"/>
          </w:tcPr>
          <w:p>
            <w:pPr>
              <w:spacing w:after="0" w:line="240" w:lineRule="auto"/>
              <w:jc w:val="center"/>
              <w:rPr>
                <w:sz w:val="24"/>
                <w:szCs w:val="24"/>
              </w:rPr>
            </w:pPr>
            <w:r>
              <w:rPr>
                <w:sz w:val="24"/>
                <w:szCs w:val="24"/>
              </w:rPr>
              <w:t>149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spacing w:after="0" w:line="240" w:lineRule="auto"/>
              <w:jc w:val="center"/>
              <w:rPr>
                <w:sz w:val="24"/>
                <w:szCs w:val="24"/>
              </w:rPr>
            </w:pPr>
            <w:r>
              <w:rPr>
                <w:sz w:val="24"/>
                <w:szCs w:val="24"/>
              </w:rPr>
              <w:t>314.0</w:t>
            </w:r>
          </w:p>
        </w:tc>
        <w:tc>
          <w:tcPr>
            <w:tcW w:w="1596" w:type="dxa"/>
          </w:tcPr>
          <w:p>
            <w:pPr>
              <w:spacing w:after="0" w:line="240" w:lineRule="auto"/>
              <w:jc w:val="center"/>
              <w:rPr>
                <w:sz w:val="24"/>
                <w:szCs w:val="24"/>
              </w:rPr>
            </w:pPr>
            <w:r>
              <w:rPr>
                <w:sz w:val="24"/>
                <w:szCs w:val="24"/>
              </w:rPr>
              <w:t>314.0</w:t>
            </w:r>
          </w:p>
        </w:tc>
        <w:tc>
          <w:tcPr>
            <w:tcW w:w="1596" w:type="dxa"/>
          </w:tcPr>
          <w:p>
            <w:pPr>
              <w:spacing w:after="0" w:line="240" w:lineRule="auto"/>
              <w:jc w:val="center"/>
              <w:rPr>
                <w:sz w:val="24"/>
                <w:szCs w:val="24"/>
              </w:rPr>
            </w:pPr>
            <w:r>
              <w:rPr>
                <w:sz w:val="24"/>
                <w:szCs w:val="24"/>
              </w:rPr>
              <w:t>126</w:t>
            </w:r>
          </w:p>
        </w:tc>
        <w:tc>
          <w:tcPr>
            <w:tcW w:w="1596" w:type="dxa"/>
          </w:tcPr>
          <w:p>
            <w:pPr>
              <w:spacing w:after="0" w:line="240" w:lineRule="auto"/>
              <w:jc w:val="center"/>
              <w:rPr>
                <w:sz w:val="24"/>
                <w:szCs w:val="24"/>
              </w:rPr>
            </w:pPr>
            <w:r>
              <w:rPr>
                <w:sz w:val="24"/>
                <w:szCs w:val="24"/>
              </w:rPr>
              <w:t>235.0</w:t>
            </w:r>
          </w:p>
        </w:tc>
        <w:tc>
          <w:tcPr>
            <w:tcW w:w="1596" w:type="dxa"/>
          </w:tcPr>
          <w:p>
            <w:pPr>
              <w:spacing w:after="0" w:line="240" w:lineRule="auto"/>
              <w:jc w:val="center"/>
              <w:rPr>
                <w:sz w:val="24"/>
                <w:szCs w:val="24"/>
              </w:rPr>
            </w:pPr>
            <w:r>
              <w:rPr>
                <w:sz w:val="24"/>
                <w:szCs w:val="24"/>
              </w:rPr>
              <w:t>230.0</w:t>
            </w:r>
          </w:p>
        </w:tc>
        <w:tc>
          <w:tcPr>
            <w:tcW w:w="1596" w:type="dxa"/>
          </w:tcPr>
          <w:p>
            <w:pPr>
              <w:spacing w:after="0" w:line="240" w:lineRule="auto"/>
              <w:jc w:val="center"/>
              <w:rPr>
                <w:sz w:val="24"/>
                <w:szCs w:val="24"/>
              </w:rPr>
            </w:pPr>
            <w:r>
              <w:rPr>
                <w:sz w:val="24"/>
                <w:szCs w:val="24"/>
              </w:rPr>
              <w:t>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spacing w:after="0" w:line="240" w:lineRule="auto"/>
              <w:jc w:val="center"/>
              <w:rPr>
                <w:sz w:val="24"/>
                <w:szCs w:val="24"/>
              </w:rPr>
            </w:pPr>
            <w:r>
              <w:rPr>
                <w:sz w:val="24"/>
                <w:szCs w:val="24"/>
              </w:rPr>
              <w:t>315.0</w:t>
            </w:r>
          </w:p>
        </w:tc>
        <w:tc>
          <w:tcPr>
            <w:tcW w:w="1596" w:type="dxa"/>
          </w:tcPr>
          <w:p>
            <w:pPr>
              <w:spacing w:after="0" w:line="240" w:lineRule="auto"/>
              <w:jc w:val="center"/>
              <w:rPr>
                <w:sz w:val="24"/>
                <w:szCs w:val="24"/>
              </w:rPr>
            </w:pPr>
            <w:r>
              <w:rPr>
                <w:sz w:val="24"/>
                <w:szCs w:val="24"/>
              </w:rPr>
              <w:t>305.0</w:t>
            </w:r>
          </w:p>
        </w:tc>
        <w:tc>
          <w:tcPr>
            <w:tcW w:w="1596" w:type="dxa"/>
          </w:tcPr>
          <w:p>
            <w:pPr>
              <w:spacing w:after="0" w:line="240" w:lineRule="auto"/>
              <w:jc w:val="center"/>
              <w:rPr>
                <w:sz w:val="24"/>
                <w:szCs w:val="24"/>
              </w:rPr>
            </w:pPr>
            <w:r>
              <w:rPr>
                <w:sz w:val="24"/>
                <w:szCs w:val="24"/>
              </w:rPr>
              <w:t>88</w:t>
            </w:r>
          </w:p>
        </w:tc>
        <w:tc>
          <w:tcPr>
            <w:tcW w:w="1596" w:type="dxa"/>
          </w:tcPr>
          <w:p>
            <w:pPr>
              <w:spacing w:after="0" w:line="240" w:lineRule="auto"/>
              <w:jc w:val="center"/>
              <w:rPr>
                <w:sz w:val="24"/>
                <w:szCs w:val="24"/>
              </w:rPr>
            </w:pPr>
            <w:r>
              <w:rPr>
                <w:sz w:val="24"/>
                <w:szCs w:val="24"/>
              </w:rPr>
              <w:t>199.8</w:t>
            </w:r>
          </w:p>
        </w:tc>
        <w:tc>
          <w:tcPr>
            <w:tcW w:w="1596" w:type="dxa"/>
          </w:tcPr>
          <w:p>
            <w:pPr>
              <w:spacing w:after="0" w:line="240" w:lineRule="auto"/>
              <w:jc w:val="center"/>
              <w:rPr>
                <w:sz w:val="24"/>
                <w:szCs w:val="24"/>
              </w:rPr>
            </w:pPr>
            <w:r>
              <w:rPr>
                <w:sz w:val="24"/>
                <w:szCs w:val="24"/>
              </w:rPr>
              <w:t>192.0</w:t>
            </w:r>
          </w:p>
        </w:tc>
        <w:tc>
          <w:tcPr>
            <w:tcW w:w="1596" w:type="dxa"/>
          </w:tcPr>
          <w:p>
            <w:pPr>
              <w:spacing w:after="0" w:line="240" w:lineRule="auto"/>
              <w:jc w:val="center"/>
              <w:rPr>
                <w:sz w:val="24"/>
                <w:szCs w:val="24"/>
              </w:rPr>
            </w:pPr>
            <w:r>
              <w:rPr>
                <w:sz w:val="24"/>
                <w:szCs w:val="24"/>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spacing w:after="0" w:line="240" w:lineRule="auto"/>
              <w:jc w:val="center"/>
              <w:rPr>
                <w:sz w:val="24"/>
                <w:szCs w:val="24"/>
              </w:rPr>
            </w:pPr>
            <w:r>
              <w:rPr>
                <w:sz w:val="24"/>
                <w:szCs w:val="24"/>
              </w:rPr>
              <w:t>885.0</w:t>
            </w:r>
          </w:p>
        </w:tc>
        <w:tc>
          <w:tcPr>
            <w:tcW w:w="1596" w:type="dxa"/>
          </w:tcPr>
          <w:p>
            <w:pPr>
              <w:spacing w:after="0" w:line="240" w:lineRule="auto"/>
              <w:jc w:val="center"/>
              <w:rPr>
                <w:sz w:val="24"/>
                <w:szCs w:val="24"/>
              </w:rPr>
            </w:pPr>
            <w:r>
              <w:rPr>
                <w:sz w:val="24"/>
                <w:szCs w:val="24"/>
              </w:rPr>
              <w:t>800.0</w:t>
            </w:r>
          </w:p>
        </w:tc>
        <w:tc>
          <w:tcPr>
            <w:tcW w:w="1596" w:type="dxa"/>
          </w:tcPr>
          <w:p>
            <w:pPr>
              <w:spacing w:after="0" w:line="240" w:lineRule="auto"/>
              <w:jc w:val="center"/>
              <w:rPr>
                <w:sz w:val="24"/>
                <w:szCs w:val="24"/>
              </w:rPr>
            </w:pPr>
            <w:r>
              <w:rPr>
                <w:sz w:val="24"/>
                <w:szCs w:val="24"/>
              </w:rPr>
              <w:t>282</w:t>
            </w:r>
          </w:p>
        </w:tc>
        <w:tc>
          <w:tcPr>
            <w:tcW w:w="1596" w:type="dxa"/>
          </w:tcPr>
          <w:p>
            <w:pPr>
              <w:spacing w:after="0" w:line="240" w:lineRule="auto"/>
              <w:jc w:val="center"/>
              <w:rPr>
                <w:sz w:val="24"/>
                <w:szCs w:val="24"/>
              </w:rPr>
            </w:pPr>
            <w:r>
              <w:rPr>
                <w:sz w:val="24"/>
                <w:szCs w:val="24"/>
              </w:rPr>
              <w:t>210.0</w:t>
            </w:r>
          </w:p>
        </w:tc>
        <w:tc>
          <w:tcPr>
            <w:tcW w:w="1596" w:type="dxa"/>
          </w:tcPr>
          <w:p>
            <w:pPr>
              <w:spacing w:after="0" w:line="240" w:lineRule="auto"/>
              <w:jc w:val="center"/>
              <w:rPr>
                <w:sz w:val="24"/>
                <w:szCs w:val="24"/>
              </w:rPr>
            </w:pPr>
            <w:r>
              <w:rPr>
                <w:sz w:val="24"/>
                <w:szCs w:val="24"/>
              </w:rPr>
              <w:t>195.0</w:t>
            </w:r>
          </w:p>
        </w:tc>
        <w:tc>
          <w:tcPr>
            <w:tcW w:w="1596" w:type="dxa"/>
          </w:tcPr>
          <w:p>
            <w:pPr>
              <w:spacing w:after="0" w:line="240" w:lineRule="auto"/>
              <w:jc w:val="center"/>
              <w:rPr>
                <w:sz w:val="24"/>
                <w:szCs w:val="24"/>
              </w:rPr>
            </w:pPr>
            <w:r>
              <w:rPr>
                <w:sz w:val="24"/>
                <w:szCs w:val="24"/>
              </w:rPr>
              <w:t>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spacing w:after="0" w:line="240" w:lineRule="auto"/>
              <w:jc w:val="center"/>
              <w:rPr>
                <w:sz w:val="24"/>
                <w:szCs w:val="24"/>
              </w:rPr>
            </w:pPr>
            <w:r>
              <w:rPr>
                <w:sz w:val="24"/>
                <w:szCs w:val="24"/>
              </w:rPr>
              <w:t>975.0</w:t>
            </w:r>
          </w:p>
        </w:tc>
        <w:tc>
          <w:tcPr>
            <w:tcW w:w="1596" w:type="dxa"/>
          </w:tcPr>
          <w:p>
            <w:pPr>
              <w:spacing w:after="0" w:line="240" w:lineRule="auto"/>
              <w:jc w:val="center"/>
              <w:rPr>
                <w:sz w:val="24"/>
                <w:szCs w:val="24"/>
              </w:rPr>
            </w:pPr>
            <w:r>
              <w:rPr>
                <w:sz w:val="24"/>
                <w:szCs w:val="24"/>
              </w:rPr>
              <w:t>975.0</w:t>
            </w:r>
          </w:p>
        </w:tc>
        <w:tc>
          <w:tcPr>
            <w:tcW w:w="1596" w:type="dxa"/>
          </w:tcPr>
          <w:p>
            <w:pPr>
              <w:spacing w:after="0" w:line="240" w:lineRule="auto"/>
              <w:jc w:val="center"/>
              <w:rPr>
                <w:sz w:val="24"/>
                <w:szCs w:val="24"/>
              </w:rPr>
            </w:pPr>
            <w:r>
              <w:rPr>
                <w:sz w:val="24"/>
                <w:szCs w:val="24"/>
              </w:rPr>
              <w:t>100</w:t>
            </w:r>
          </w:p>
        </w:tc>
        <w:tc>
          <w:tcPr>
            <w:tcW w:w="1596" w:type="dxa"/>
          </w:tcPr>
          <w:p>
            <w:pPr>
              <w:spacing w:after="0" w:line="240" w:lineRule="auto"/>
              <w:jc w:val="center"/>
              <w:rPr>
                <w:sz w:val="24"/>
                <w:szCs w:val="24"/>
              </w:rPr>
            </w:pPr>
            <w:r>
              <w:rPr>
                <w:sz w:val="24"/>
                <w:szCs w:val="24"/>
              </w:rPr>
              <w:t>226.0</w:t>
            </w:r>
          </w:p>
        </w:tc>
        <w:tc>
          <w:tcPr>
            <w:tcW w:w="1596" w:type="dxa"/>
          </w:tcPr>
          <w:p>
            <w:pPr>
              <w:spacing w:after="0" w:line="240" w:lineRule="auto"/>
              <w:jc w:val="center"/>
              <w:rPr>
                <w:sz w:val="24"/>
                <w:szCs w:val="24"/>
              </w:rPr>
            </w:pPr>
            <w:r>
              <w:rPr>
                <w:sz w:val="24"/>
                <w:szCs w:val="24"/>
              </w:rPr>
              <w:t>212.0</w:t>
            </w:r>
          </w:p>
        </w:tc>
        <w:tc>
          <w:tcPr>
            <w:tcW w:w="1596" w:type="dxa"/>
          </w:tcPr>
          <w:p>
            <w:pPr>
              <w:spacing w:after="0" w:line="240" w:lineRule="auto"/>
              <w:jc w:val="center"/>
              <w:rPr>
                <w:sz w:val="24"/>
                <w:szCs w:val="24"/>
              </w:rPr>
            </w:pPr>
            <w:r>
              <w:rPr>
                <w:sz w:val="24"/>
                <w:szCs w:val="24"/>
              </w:rPr>
              <w:t>146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spacing w:after="0" w:line="240" w:lineRule="auto"/>
              <w:jc w:val="center"/>
              <w:rPr>
                <w:sz w:val="24"/>
                <w:szCs w:val="24"/>
              </w:rPr>
            </w:pPr>
            <w:r>
              <w:rPr>
                <w:sz w:val="24"/>
                <w:szCs w:val="24"/>
              </w:rPr>
              <w:t>469.0</w:t>
            </w:r>
          </w:p>
        </w:tc>
        <w:tc>
          <w:tcPr>
            <w:tcW w:w="1596" w:type="dxa"/>
          </w:tcPr>
          <w:p>
            <w:pPr>
              <w:spacing w:after="0" w:line="240" w:lineRule="auto"/>
              <w:jc w:val="center"/>
              <w:rPr>
                <w:sz w:val="24"/>
                <w:szCs w:val="24"/>
              </w:rPr>
            </w:pPr>
            <w:r>
              <w:rPr>
                <w:sz w:val="24"/>
                <w:szCs w:val="24"/>
              </w:rPr>
              <w:t>445.0</w:t>
            </w:r>
          </w:p>
        </w:tc>
        <w:tc>
          <w:tcPr>
            <w:tcW w:w="1596" w:type="dxa"/>
          </w:tcPr>
          <w:p>
            <w:pPr>
              <w:spacing w:after="0" w:line="240" w:lineRule="auto"/>
              <w:jc w:val="center"/>
              <w:rPr>
                <w:sz w:val="24"/>
                <w:szCs w:val="24"/>
              </w:rPr>
            </w:pPr>
            <w:r>
              <w:rPr>
                <w:sz w:val="24"/>
                <w:szCs w:val="24"/>
              </w:rPr>
              <w:t>56</w:t>
            </w:r>
          </w:p>
        </w:tc>
        <w:tc>
          <w:tcPr>
            <w:tcW w:w="1596" w:type="dxa"/>
          </w:tcPr>
          <w:p>
            <w:pPr>
              <w:spacing w:after="0" w:line="240" w:lineRule="auto"/>
              <w:jc w:val="center"/>
              <w:rPr>
                <w:sz w:val="24"/>
                <w:szCs w:val="24"/>
              </w:rPr>
            </w:pPr>
            <w:r>
              <w:rPr>
                <w:sz w:val="24"/>
                <w:szCs w:val="24"/>
              </w:rPr>
              <w:t>149.9</w:t>
            </w:r>
          </w:p>
        </w:tc>
        <w:tc>
          <w:tcPr>
            <w:tcW w:w="1596" w:type="dxa"/>
          </w:tcPr>
          <w:p>
            <w:pPr>
              <w:spacing w:after="0" w:line="240" w:lineRule="auto"/>
              <w:jc w:val="center"/>
              <w:rPr>
                <w:sz w:val="24"/>
                <w:szCs w:val="24"/>
              </w:rPr>
            </w:pPr>
            <w:r>
              <w:rPr>
                <w:sz w:val="24"/>
                <w:szCs w:val="24"/>
              </w:rPr>
              <w:t>146.5</w:t>
            </w:r>
          </w:p>
        </w:tc>
        <w:tc>
          <w:tcPr>
            <w:tcW w:w="1596" w:type="dxa"/>
          </w:tcPr>
          <w:p>
            <w:pPr>
              <w:spacing w:after="0" w:line="240" w:lineRule="auto"/>
              <w:jc w:val="center"/>
              <w:rPr>
                <w:sz w:val="24"/>
                <w:szCs w:val="24"/>
              </w:rPr>
            </w:pPr>
            <w:r>
              <w:rPr>
                <w:sz w:val="24"/>
                <w:szCs w:val="24"/>
              </w:rPr>
              <w:t>137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spacing w:after="0" w:line="240" w:lineRule="auto"/>
              <w:jc w:val="center"/>
              <w:rPr>
                <w:sz w:val="24"/>
                <w:szCs w:val="24"/>
              </w:rPr>
            </w:pPr>
            <w:r>
              <w:rPr>
                <w:sz w:val="24"/>
                <w:szCs w:val="24"/>
              </w:rPr>
              <w:t>329.0</w:t>
            </w:r>
          </w:p>
        </w:tc>
        <w:tc>
          <w:tcPr>
            <w:tcW w:w="1596" w:type="dxa"/>
          </w:tcPr>
          <w:p>
            <w:pPr>
              <w:spacing w:after="0" w:line="240" w:lineRule="auto"/>
              <w:jc w:val="center"/>
              <w:rPr>
                <w:sz w:val="24"/>
                <w:szCs w:val="24"/>
              </w:rPr>
            </w:pPr>
            <w:r>
              <w:rPr>
                <w:sz w:val="24"/>
                <w:szCs w:val="24"/>
              </w:rPr>
              <w:t>305.0</w:t>
            </w:r>
          </w:p>
        </w:tc>
        <w:tc>
          <w:tcPr>
            <w:tcW w:w="1596" w:type="dxa"/>
          </w:tcPr>
          <w:p>
            <w:pPr>
              <w:spacing w:after="0" w:line="240" w:lineRule="auto"/>
              <w:jc w:val="center"/>
              <w:rPr>
                <w:sz w:val="24"/>
                <w:szCs w:val="24"/>
              </w:rPr>
            </w:pPr>
            <w:r>
              <w:rPr>
                <w:sz w:val="24"/>
                <w:szCs w:val="24"/>
              </w:rPr>
              <w:t>49</w:t>
            </w:r>
          </w:p>
        </w:tc>
        <w:tc>
          <w:tcPr>
            <w:tcW w:w="1596" w:type="dxa"/>
          </w:tcPr>
          <w:p>
            <w:pPr>
              <w:spacing w:after="0" w:line="240" w:lineRule="auto"/>
              <w:jc w:val="center"/>
              <w:rPr>
                <w:sz w:val="24"/>
                <w:szCs w:val="24"/>
              </w:rPr>
            </w:pPr>
            <w:r>
              <w:rPr>
                <w:sz w:val="24"/>
                <w:szCs w:val="24"/>
              </w:rPr>
              <w:t>160.0</w:t>
            </w:r>
          </w:p>
        </w:tc>
        <w:tc>
          <w:tcPr>
            <w:tcW w:w="1596" w:type="dxa"/>
          </w:tcPr>
          <w:p>
            <w:pPr>
              <w:spacing w:after="0" w:line="240" w:lineRule="auto"/>
              <w:jc w:val="center"/>
              <w:rPr>
                <w:sz w:val="24"/>
                <w:szCs w:val="24"/>
              </w:rPr>
            </w:pPr>
            <w:r>
              <w:rPr>
                <w:sz w:val="24"/>
                <w:szCs w:val="24"/>
              </w:rPr>
              <w:t>160.0</w:t>
            </w:r>
          </w:p>
        </w:tc>
        <w:tc>
          <w:tcPr>
            <w:tcW w:w="1596" w:type="dxa"/>
          </w:tcPr>
          <w:p>
            <w:pPr>
              <w:spacing w:after="0" w:line="240" w:lineRule="auto"/>
              <w:jc w:val="center"/>
              <w:rPr>
                <w:sz w:val="24"/>
                <w:szCs w:val="24"/>
              </w:rPr>
            </w:pPr>
            <w:r>
              <w:rPr>
                <w:sz w:val="24"/>
                <w:szCs w:val="24"/>
              </w:rPr>
              <w:t>281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spacing w:after="0" w:line="240" w:lineRule="auto"/>
              <w:jc w:val="center"/>
              <w:rPr>
                <w:sz w:val="24"/>
                <w:szCs w:val="24"/>
              </w:rPr>
            </w:pPr>
            <w:r>
              <w:rPr>
                <w:sz w:val="24"/>
                <w:szCs w:val="24"/>
              </w:rPr>
              <w:t>365.0</w:t>
            </w:r>
          </w:p>
        </w:tc>
        <w:tc>
          <w:tcPr>
            <w:tcW w:w="1596" w:type="dxa"/>
          </w:tcPr>
          <w:p>
            <w:pPr>
              <w:spacing w:after="0" w:line="240" w:lineRule="auto"/>
              <w:jc w:val="center"/>
              <w:rPr>
                <w:sz w:val="24"/>
                <w:szCs w:val="24"/>
              </w:rPr>
            </w:pPr>
            <w:r>
              <w:rPr>
                <w:sz w:val="24"/>
                <w:szCs w:val="24"/>
              </w:rPr>
              <w:t>330.0</w:t>
            </w:r>
          </w:p>
        </w:tc>
        <w:tc>
          <w:tcPr>
            <w:tcW w:w="1596" w:type="dxa"/>
          </w:tcPr>
          <w:p>
            <w:pPr>
              <w:spacing w:after="0" w:line="240" w:lineRule="auto"/>
              <w:jc w:val="center"/>
              <w:rPr>
                <w:sz w:val="24"/>
                <w:szCs w:val="24"/>
              </w:rPr>
            </w:pPr>
            <w:r>
              <w:rPr>
                <w:sz w:val="24"/>
                <w:szCs w:val="24"/>
              </w:rPr>
              <w:t>48</w:t>
            </w:r>
          </w:p>
        </w:tc>
        <w:tc>
          <w:tcPr>
            <w:tcW w:w="1596" w:type="dxa"/>
          </w:tcPr>
          <w:p>
            <w:pPr>
              <w:spacing w:after="0" w:line="240" w:lineRule="auto"/>
              <w:jc w:val="center"/>
              <w:rPr>
                <w:sz w:val="24"/>
                <w:szCs w:val="24"/>
              </w:rPr>
            </w:pPr>
            <w:r>
              <w:rPr>
                <w:sz w:val="24"/>
                <w:szCs w:val="24"/>
              </w:rPr>
              <w:t>322.0</w:t>
            </w:r>
          </w:p>
        </w:tc>
        <w:tc>
          <w:tcPr>
            <w:tcW w:w="1596" w:type="dxa"/>
          </w:tcPr>
          <w:p>
            <w:pPr>
              <w:spacing w:after="0" w:line="240" w:lineRule="auto"/>
              <w:jc w:val="center"/>
              <w:rPr>
                <w:sz w:val="24"/>
                <w:szCs w:val="24"/>
              </w:rPr>
            </w:pPr>
            <w:r>
              <w:rPr>
                <w:sz w:val="24"/>
                <w:szCs w:val="24"/>
              </w:rPr>
              <w:t>292.5</w:t>
            </w:r>
          </w:p>
        </w:tc>
        <w:tc>
          <w:tcPr>
            <w:tcW w:w="1596" w:type="dxa"/>
          </w:tcPr>
          <w:p>
            <w:pPr>
              <w:spacing w:after="0" w:line="240" w:lineRule="auto"/>
              <w:jc w:val="center"/>
              <w:rPr>
                <w:sz w:val="24"/>
                <w:szCs w:val="24"/>
              </w:rPr>
            </w:pPr>
            <w:r>
              <w:rPr>
                <w:sz w:val="24"/>
                <w:szCs w:val="24"/>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spacing w:after="0" w:line="240" w:lineRule="auto"/>
              <w:jc w:val="center"/>
              <w:rPr>
                <w:sz w:val="24"/>
                <w:szCs w:val="24"/>
              </w:rPr>
            </w:pPr>
            <w:r>
              <w:rPr>
                <w:sz w:val="24"/>
                <w:szCs w:val="24"/>
              </w:rPr>
              <w:t>332.0</w:t>
            </w:r>
          </w:p>
        </w:tc>
        <w:tc>
          <w:tcPr>
            <w:tcW w:w="1596" w:type="dxa"/>
          </w:tcPr>
          <w:p>
            <w:pPr>
              <w:spacing w:after="0" w:line="240" w:lineRule="auto"/>
              <w:jc w:val="center"/>
              <w:rPr>
                <w:sz w:val="24"/>
                <w:szCs w:val="24"/>
              </w:rPr>
            </w:pPr>
            <w:r>
              <w:rPr>
                <w:sz w:val="24"/>
                <w:szCs w:val="24"/>
              </w:rPr>
              <w:t>312.0</w:t>
            </w:r>
          </w:p>
        </w:tc>
        <w:tc>
          <w:tcPr>
            <w:tcW w:w="1596" w:type="dxa"/>
          </w:tcPr>
          <w:p>
            <w:pPr>
              <w:spacing w:after="0" w:line="240" w:lineRule="auto"/>
              <w:jc w:val="center"/>
              <w:rPr>
                <w:sz w:val="24"/>
                <w:szCs w:val="24"/>
              </w:rPr>
            </w:pPr>
            <w:r>
              <w:rPr>
                <w:sz w:val="24"/>
                <w:szCs w:val="24"/>
              </w:rPr>
              <w:t>88</w:t>
            </w:r>
          </w:p>
        </w:tc>
        <w:tc>
          <w:tcPr>
            <w:tcW w:w="1596" w:type="dxa"/>
          </w:tcPr>
          <w:p>
            <w:pPr>
              <w:spacing w:after="0" w:line="240" w:lineRule="auto"/>
              <w:jc w:val="center"/>
              <w:rPr>
                <w:sz w:val="24"/>
                <w:szCs w:val="24"/>
              </w:rPr>
            </w:pPr>
            <w:r>
              <w:rPr>
                <w:sz w:val="24"/>
                <w:szCs w:val="24"/>
              </w:rPr>
              <w:t>187.5</w:t>
            </w:r>
          </w:p>
        </w:tc>
        <w:tc>
          <w:tcPr>
            <w:tcW w:w="1596" w:type="dxa"/>
          </w:tcPr>
          <w:p>
            <w:pPr>
              <w:spacing w:after="0" w:line="240" w:lineRule="auto"/>
              <w:jc w:val="center"/>
              <w:rPr>
                <w:sz w:val="24"/>
                <w:szCs w:val="24"/>
              </w:rPr>
            </w:pPr>
            <w:r>
              <w:rPr>
                <w:sz w:val="24"/>
                <w:szCs w:val="24"/>
              </w:rPr>
              <w:t>179.0</w:t>
            </w:r>
          </w:p>
        </w:tc>
        <w:tc>
          <w:tcPr>
            <w:tcW w:w="1596" w:type="dxa"/>
          </w:tcPr>
          <w:p>
            <w:pPr>
              <w:spacing w:after="0" w:line="240" w:lineRule="auto"/>
              <w:jc w:val="center"/>
              <w:rPr>
                <w:sz w:val="24"/>
                <w:szCs w:val="24"/>
              </w:rPr>
            </w:pPr>
            <w:r>
              <w:rPr>
                <w:sz w:val="24"/>
                <w:szCs w:val="24"/>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spacing w:after="0" w:line="240" w:lineRule="auto"/>
              <w:jc w:val="center"/>
              <w:rPr>
                <w:sz w:val="24"/>
                <w:szCs w:val="24"/>
              </w:rPr>
            </w:pPr>
            <w:r>
              <w:rPr>
                <w:sz w:val="24"/>
                <w:szCs w:val="24"/>
              </w:rPr>
              <w:t>520.0</w:t>
            </w:r>
          </w:p>
        </w:tc>
        <w:tc>
          <w:tcPr>
            <w:tcW w:w="1596" w:type="dxa"/>
          </w:tcPr>
          <w:p>
            <w:pPr>
              <w:spacing w:after="0" w:line="240" w:lineRule="auto"/>
              <w:jc w:val="center"/>
              <w:rPr>
                <w:sz w:val="24"/>
                <w:szCs w:val="24"/>
              </w:rPr>
            </w:pPr>
            <w:r>
              <w:rPr>
                <w:sz w:val="24"/>
                <w:szCs w:val="24"/>
              </w:rPr>
              <w:t>495.0</w:t>
            </w:r>
          </w:p>
        </w:tc>
        <w:tc>
          <w:tcPr>
            <w:tcW w:w="1596" w:type="dxa"/>
          </w:tcPr>
          <w:p>
            <w:pPr>
              <w:spacing w:after="0" w:line="240" w:lineRule="auto"/>
              <w:jc w:val="center"/>
              <w:rPr>
                <w:sz w:val="24"/>
                <w:szCs w:val="24"/>
              </w:rPr>
            </w:pPr>
            <w:r>
              <w:rPr>
                <w:sz w:val="24"/>
                <w:szCs w:val="24"/>
              </w:rPr>
              <w:t>161</w:t>
            </w:r>
          </w:p>
        </w:tc>
        <w:tc>
          <w:tcPr>
            <w:tcW w:w="1596" w:type="dxa"/>
          </w:tcPr>
          <w:p>
            <w:pPr>
              <w:spacing w:after="0" w:line="240" w:lineRule="auto"/>
              <w:jc w:val="center"/>
              <w:rPr>
                <w:sz w:val="24"/>
                <w:szCs w:val="24"/>
              </w:rPr>
            </w:pPr>
            <w:r>
              <w:rPr>
                <w:sz w:val="24"/>
                <w:szCs w:val="24"/>
              </w:rPr>
              <w:t>247.0</w:t>
            </w:r>
          </w:p>
        </w:tc>
        <w:tc>
          <w:tcPr>
            <w:tcW w:w="1596" w:type="dxa"/>
          </w:tcPr>
          <w:p>
            <w:pPr>
              <w:spacing w:after="0" w:line="240" w:lineRule="auto"/>
              <w:jc w:val="center"/>
              <w:rPr>
                <w:sz w:val="24"/>
                <w:szCs w:val="24"/>
              </w:rPr>
            </w:pPr>
            <w:r>
              <w:rPr>
                <w:sz w:val="24"/>
                <w:szCs w:val="24"/>
              </w:rPr>
              <w:t>227.0</w:t>
            </w:r>
          </w:p>
        </w:tc>
        <w:tc>
          <w:tcPr>
            <w:tcW w:w="1596" w:type="dxa"/>
          </w:tcPr>
          <w:p>
            <w:pPr>
              <w:spacing w:after="0" w:line="240" w:lineRule="auto"/>
              <w:jc w:val="center"/>
              <w:rPr>
                <w:sz w:val="24"/>
                <w:szCs w:val="24"/>
              </w:rPr>
            </w:pPr>
            <w:r>
              <w:rPr>
                <w:sz w:val="24"/>
                <w:szCs w:val="24"/>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spacing w:after="0" w:line="240" w:lineRule="auto"/>
              <w:jc w:val="center"/>
              <w:rPr>
                <w:sz w:val="24"/>
                <w:szCs w:val="24"/>
              </w:rPr>
            </w:pPr>
            <w:r>
              <w:rPr>
                <w:sz w:val="24"/>
                <w:szCs w:val="24"/>
              </w:rPr>
              <w:t>425.0</w:t>
            </w:r>
          </w:p>
        </w:tc>
        <w:tc>
          <w:tcPr>
            <w:tcW w:w="1596" w:type="dxa"/>
          </w:tcPr>
          <w:p>
            <w:pPr>
              <w:spacing w:after="0" w:line="240" w:lineRule="auto"/>
              <w:jc w:val="center"/>
              <w:rPr>
                <w:sz w:val="24"/>
                <w:szCs w:val="24"/>
              </w:rPr>
            </w:pPr>
            <w:r>
              <w:rPr>
                <w:sz w:val="24"/>
                <w:szCs w:val="24"/>
              </w:rPr>
              <w:t>405.0</w:t>
            </w:r>
          </w:p>
        </w:tc>
        <w:tc>
          <w:tcPr>
            <w:tcW w:w="1596" w:type="dxa"/>
          </w:tcPr>
          <w:p>
            <w:pPr>
              <w:spacing w:after="0" w:line="240" w:lineRule="auto"/>
              <w:jc w:val="center"/>
              <w:rPr>
                <w:sz w:val="24"/>
                <w:szCs w:val="24"/>
              </w:rPr>
            </w:pPr>
            <w:r>
              <w:rPr>
                <w:sz w:val="24"/>
                <w:szCs w:val="24"/>
              </w:rPr>
              <w:t>149</w:t>
            </w: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spacing w:after="0" w:line="240" w:lineRule="auto"/>
              <w:jc w:val="center"/>
              <w:rPr>
                <w:sz w:val="24"/>
                <w:szCs w:val="24"/>
              </w:rPr>
            </w:pPr>
            <w:r>
              <w:rPr>
                <w:sz w:val="24"/>
                <w:szCs w:val="24"/>
              </w:rPr>
              <w:t>675.0</w:t>
            </w:r>
          </w:p>
        </w:tc>
        <w:tc>
          <w:tcPr>
            <w:tcW w:w="1596" w:type="dxa"/>
          </w:tcPr>
          <w:p>
            <w:pPr>
              <w:spacing w:after="0" w:line="240" w:lineRule="auto"/>
              <w:jc w:val="center"/>
              <w:rPr>
                <w:sz w:val="24"/>
                <w:szCs w:val="24"/>
              </w:rPr>
            </w:pPr>
            <w:r>
              <w:rPr>
                <w:sz w:val="24"/>
                <w:szCs w:val="24"/>
              </w:rPr>
              <w:t>669.0</w:t>
            </w:r>
          </w:p>
        </w:tc>
        <w:tc>
          <w:tcPr>
            <w:tcW w:w="1596" w:type="dxa"/>
          </w:tcPr>
          <w:p>
            <w:pPr>
              <w:spacing w:after="0" w:line="240" w:lineRule="auto"/>
              <w:jc w:val="center"/>
              <w:rPr>
                <w:sz w:val="24"/>
                <w:szCs w:val="24"/>
              </w:rPr>
            </w:pPr>
            <w:r>
              <w:rPr>
                <w:sz w:val="24"/>
                <w:szCs w:val="24"/>
              </w:rPr>
              <w:t>142</w:t>
            </w: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spacing w:after="0" w:line="240" w:lineRule="auto"/>
              <w:jc w:val="center"/>
              <w:rPr>
                <w:sz w:val="24"/>
                <w:szCs w:val="24"/>
              </w:rPr>
            </w:pPr>
            <w:r>
              <w:rPr>
                <w:sz w:val="24"/>
                <w:szCs w:val="24"/>
              </w:rPr>
              <w:t>409.0</w:t>
            </w:r>
          </w:p>
        </w:tc>
        <w:tc>
          <w:tcPr>
            <w:tcW w:w="1596" w:type="dxa"/>
          </w:tcPr>
          <w:p>
            <w:pPr>
              <w:spacing w:after="0" w:line="240" w:lineRule="auto"/>
              <w:jc w:val="center"/>
              <w:rPr>
                <w:sz w:val="24"/>
                <w:szCs w:val="24"/>
              </w:rPr>
            </w:pPr>
            <w:r>
              <w:rPr>
                <w:sz w:val="24"/>
                <w:szCs w:val="24"/>
              </w:rPr>
              <w:t>400.0</w:t>
            </w:r>
          </w:p>
        </w:tc>
        <w:tc>
          <w:tcPr>
            <w:tcW w:w="1596" w:type="dxa"/>
          </w:tcPr>
          <w:p>
            <w:pPr>
              <w:spacing w:after="0" w:line="240" w:lineRule="auto"/>
              <w:jc w:val="center"/>
              <w:rPr>
                <w:sz w:val="24"/>
                <w:szCs w:val="24"/>
              </w:rPr>
            </w:pPr>
            <w:r>
              <w:rPr>
                <w:sz w:val="24"/>
                <w:szCs w:val="24"/>
              </w:rPr>
              <w:t>28</w:t>
            </w: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spacing w:after="0" w:line="240" w:lineRule="auto"/>
              <w:jc w:val="center"/>
              <w:rPr>
                <w:sz w:val="24"/>
                <w:szCs w:val="24"/>
              </w:rPr>
            </w:pPr>
            <w:r>
              <w:rPr>
                <w:sz w:val="24"/>
                <w:szCs w:val="24"/>
              </w:rPr>
              <w:t>649.0</w:t>
            </w:r>
          </w:p>
        </w:tc>
        <w:tc>
          <w:tcPr>
            <w:tcW w:w="1596" w:type="dxa"/>
          </w:tcPr>
          <w:p>
            <w:pPr>
              <w:spacing w:after="0" w:line="240" w:lineRule="auto"/>
              <w:jc w:val="center"/>
              <w:rPr>
                <w:sz w:val="24"/>
                <w:szCs w:val="24"/>
              </w:rPr>
            </w:pPr>
            <w:r>
              <w:rPr>
                <w:sz w:val="24"/>
                <w:szCs w:val="24"/>
              </w:rPr>
              <w:t>649.0</w:t>
            </w:r>
          </w:p>
        </w:tc>
        <w:tc>
          <w:tcPr>
            <w:tcW w:w="1596" w:type="dxa"/>
          </w:tcPr>
          <w:p>
            <w:pPr>
              <w:spacing w:after="0" w:line="240" w:lineRule="auto"/>
              <w:jc w:val="center"/>
              <w:rPr>
                <w:sz w:val="24"/>
                <w:szCs w:val="24"/>
              </w:rPr>
            </w:pPr>
            <w:r>
              <w:rPr>
                <w:sz w:val="24"/>
                <w:szCs w:val="24"/>
              </w:rPr>
              <w:t>29</w:t>
            </w: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spacing w:after="0" w:line="240" w:lineRule="auto"/>
              <w:jc w:val="center"/>
              <w:rPr>
                <w:sz w:val="24"/>
                <w:szCs w:val="24"/>
              </w:rPr>
            </w:pPr>
            <w:r>
              <w:rPr>
                <w:sz w:val="24"/>
                <w:szCs w:val="24"/>
              </w:rPr>
              <w:t>319.0</w:t>
            </w:r>
          </w:p>
        </w:tc>
        <w:tc>
          <w:tcPr>
            <w:tcW w:w="1596" w:type="dxa"/>
          </w:tcPr>
          <w:p>
            <w:pPr>
              <w:spacing w:after="0" w:line="240" w:lineRule="auto"/>
              <w:jc w:val="center"/>
              <w:rPr>
                <w:sz w:val="24"/>
                <w:szCs w:val="24"/>
              </w:rPr>
            </w:pPr>
            <w:r>
              <w:rPr>
                <w:sz w:val="24"/>
                <w:szCs w:val="24"/>
              </w:rPr>
              <w:t>305.0</w:t>
            </w:r>
          </w:p>
        </w:tc>
        <w:tc>
          <w:tcPr>
            <w:tcW w:w="1596" w:type="dxa"/>
          </w:tcPr>
          <w:p>
            <w:pPr>
              <w:spacing w:after="0" w:line="240" w:lineRule="auto"/>
              <w:jc w:val="center"/>
              <w:rPr>
                <w:sz w:val="24"/>
                <w:szCs w:val="24"/>
              </w:rPr>
            </w:pPr>
            <w:r>
              <w:rPr>
                <w:sz w:val="24"/>
                <w:szCs w:val="24"/>
              </w:rPr>
              <w:t>140</w:t>
            </w: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spacing w:after="0" w:line="240" w:lineRule="auto"/>
              <w:jc w:val="center"/>
              <w:rPr>
                <w:sz w:val="24"/>
                <w:szCs w:val="24"/>
              </w:rPr>
            </w:pPr>
            <w:r>
              <w:rPr>
                <w:sz w:val="24"/>
                <w:szCs w:val="24"/>
              </w:rPr>
              <w:t>425.0</w:t>
            </w:r>
          </w:p>
        </w:tc>
        <w:tc>
          <w:tcPr>
            <w:tcW w:w="1596" w:type="dxa"/>
          </w:tcPr>
          <w:p>
            <w:pPr>
              <w:spacing w:after="0" w:line="240" w:lineRule="auto"/>
              <w:jc w:val="center"/>
              <w:rPr>
                <w:sz w:val="24"/>
                <w:szCs w:val="24"/>
              </w:rPr>
            </w:pPr>
            <w:r>
              <w:rPr>
                <w:sz w:val="24"/>
                <w:szCs w:val="24"/>
              </w:rPr>
              <w:t>410.0</w:t>
            </w:r>
          </w:p>
        </w:tc>
        <w:tc>
          <w:tcPr>
            <w:tcW w:w="1596" w:type="dxa"/>
          </w:tcPr>
          <w:p>
            <w:pPr>
              <w:spacing w:after="0" w:line="240" w:lineRule="auto"/>
              <w:jc w:val="center"/>
              <w:rPr>
                <w:sz w:val="24"/>
                <w:szCs w:val="24"/>
              </w:rPr>
            </w:pPr>
            <w:r>
              <w:rPr>
                <w:sz w:val="24"/>
                <w:szCs w:val="24"/>
              </w:rPr>
              <w:t>85</w:t>
            </w: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spacing w:after="0" w:line="240" w:lineRule="auto"/>
              <w:jc w:val="center"/>
              <w:rPr>
                <w:sz w:val="24"/>
                <w:szCs w:val="24"/>
              </w:rPr>
            </w:pPr>
            <w:r>
              <w:rPr>
                <w:sz w:val="24"/>
                <w:szCs w:val="24"/>
              </w:rPr>
              <w:t>359.0</w:t>
            </w:r>
          </w:p>
        </w:tc>
        <w:tc>
          <w:tcPr>
            <w:tcW w:w="1596" w:type="dxa"/>
          </w:tcPr>
          <w:p>
            <w:pPr>
              <w:spacing w:after="0" w:line="240" w:lineRule="auto"/>
              <w:jc w:val="center"/>
              <w:rPr>
                <w:sz w:val="24"/>
                <w:szCs w:val="24"/>
              </w:rPr>
            </w:pPr>
            <w:r>
              <w:rPr>
                <w:sz w:val="24"/>
                <w:szCs w:val="24"/>
              </w:rPr>
              <w:t>340.0</w:t>
            </w:r>
          </w:p>
        </w:tc>
        <w:tc>
          <w:tcPr>
            <w:tcW w:w="1596" w:type="dxa"/>
          </w:tcPr>
          <w:p>
            <w:pPr>
              <w:spacing w:after="0" w:line="240" w:lineRule="auto"/>
              <w:jc w:val="center"/>
              <w:rPr>
                <w:sz w:val="24"/>
                <w:szCs w:val="24"/>
              </w:rPr>
            </w:pPr>
            <w:r>
              <w:rPr>
                <w:sz w:val="24"/>
                <w:szCs w:val="24"/>
              </w:rPr>
              <w:t>107</w:t>
            </w: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spacing w:after="0" w:line="240" w:lineRule="auto"/>
              <w:jc w:val="center"/>
              <w:rPr>
                <w:sz w:val="24"/>
                <w:szCs w:val="24"/>
              </w:rPr>
            </w:pPr>
            <w:r>
              <w:rPr>
                <w:sz w:val="24"/>
                <w:szCs w:val="24"/>
              </w:rPr>
              <w:t>469.0</w:t>
            </w:r>
          </w:p>
        </w:tc>
        <w:tc>
          <w:tcPr>
            <w:tcW w:w="1596" w:type="dxa"/>
          </w:tcPr>
          <w:p>
            <w:pPr>
              <w:spacing w:after="0" w:line="240" w:lineRule="auto"/>
              <w:jc w:val="center"/>
              <w:rPr>
                <w:sz w:val="24"/>
                <w:szCs w:val="24"/>
              </w:rPr>
            </w:pPr>
            <w:r>
              <w:rPr>
                <w:sz w:val="24"/>
                <w:szCs w:val="24"/>
              </w:rPr>
              <w:t>449.0</w:t>
            </w:r>
          </w:p>
        </w:tc>
        <w:tc>
          <w:tcPr>
            <w:tcW w:w="1596" w:type="dxa"/>
          </w:tcPr>
          <w:p>
            <w:pPr>
              <w:spacing w:after="0" w:line="240" w:lineRule="auto"/>
              <w:jc w:val="center"/>
              <w:rPr>
                <w:sz w:val="24"/>
                <w:szCs w:val="24"/>
              </w:rPr>
            </w:pPr>
            <w:r>
              <w:rPr>
                <w:sz w:val="24"/>
                <w:szCs w:val="24"/>
              </w:rPr>
              <w:t>72</w:t>
            </w: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spacing w:after="0" w:line="240" w:lineRule="auto"/>
              <w:jc w:val="center"/>
              <w:rPr>
                <w:sz w:val="24"/>
                <w:szCs w:val="24"/>
              </w:rPr>
            </w:pPr>
            <w:r>
              <w:rPr>
                <w:sz w:val="24"/>
                <w:szCs w:val="24"/>
              </w:rPr>
              <w:t>895.0</w:t>
            </w:r>
          </w:p>
        </w:tc>
        <w:tc>
          <w:tcPr>
            <w:tcW w:w="1596" w:type="dxa"/>
          </w:tcPr>
          <w:p>
            <w:pPr>
              <w:spacing w:after="0" w:line="240" w:lineRule="auto"/>
              <w:jc w:val="center"/>
              <w:rPr>
                <w:sz w:val="24"/>
                <w:szCs w:val="24"/>
              </w:rPr>
            </w:pPr>
            <w:r>
              <w:rPr>
                <w:sz w:val="24"/>
                <w:szCs w:val="24"/>
              </w:rPr>
              <w:t>875.0</w:t>
            </w:r>
          </w:p>
        </w:tc>
        <w:tc>
          <w:tcPr>
            <w:tcW w:w="1596" w:type="dxa"/>
          </w:tcPr>
          <w:p>
            <w:pPr>
              <w:spacing w:after="0" w:line="240" w:lineRule="auto"/>
              <w:jc w:val="center"/>
              <w:rPr>
                <w:sz w:val="24"/>
                <w:szCs w:val="24"/>
              </w:rPr>
            </w:pPr>
            <w:r>
              <w:rPr>
                <w:sz w:val="24"/>
                <w:szCs w:val="24"/>
              </w:rPr>
              <w:t>129</w:t>
            </w: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spacing w:after="0" w:line="240" w:lineRule="auto"/>
              <w:jc w:val="center"/>
              <w:rPr>
                <w:sz w:val="24"/>
                <w:szCs w:val="24"/>
              </w:rPr>
            </w:pPr>
            <w:r>
              <w:rPr>
                <w:sz w:val="24"/>
                <w:szCs w:val="24"/>
              </w:rPr>
              <w:t>439.0</w:t>
            </w:r>
          </w:p>
        </w:tc>
        <w:tc>
          <w:tcPr>
            <w:tcW w:w="1596" w:type="dxa"/>
          </w:tcPr>
          <w:p>
            <w:pPr>
              <w:spacing w:after="0" w:line="240" w:lineRule="auto"/>
              <w:jc w:val="center"/>
              <w:rPr>
                <w:sz w:val="24"/>
                <w:szCs w:val="24"/>
              </w:rPr>
            </w:pPr>
            <w:r>
              <w:rPr>
                <w:sz w:val="24"/>
                <w:szCs w:val="24"/>
              </w:rPr>
              <w:t>430.0</w:t>
            </w:r>
          </w:p>
        </w:tc>
        <w:tc>
          <w:tcPr>
            <w:tcW w:w="1596" w:type="dxa"/>
          </w:tcPr>
          <w:p>
            <w:pPr>
              <w:spacing w:after="0" w:line="240" w:lineRule="auto"/>
              <w:jc w:val="center"/>
              <w:rPr>
                <w:sz w:val="24"/>
                <w:szCs w:val="24"/>
              </w:rPr>
            </w:pPr>
            <w:r>
              <w:rPr>
                <w:sz w:val="24"/>
                <w:szCs w:val="24"/>
              </w:rPr>
              <w:t>160</w:t>
            </w: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spacing w:after="0" w:line="240" w:lineRule="auto"/>
              <w:jc w:val="center"/>
              <w:rPr>
                <w:sz w:val="24"/>
                <w:szCs w:val="24"/>
              </w:rPr>
            </w:pPr>
            <w:r>
              <w:rPr>
                <w:sz w:val="24"/>
                <w:szCs w:val="24"/>
              </w:rPr>
              <w:t>435.0</w:t>
            </w:r>
          </w:p>
        </w:tc>
        <w:tc>
          <w:tcPr>
            <w:tcW w:w="1596" w:type="dxa"/>
          </w:tcPr>
          <w:p>
            <w:pPr>
              <w:spacing w:after="0" w:line="240" w:lineRule="auto"/>
              <w:jc w:val="center"/>
              <w:rPr>
                <w:sz w:val="24"/>
                <w:szCs w:val="24"/>
              </w:rPr>
            </w:pPr>
            <w:r>
              <w:rPr>
                <w:sz w:val="24"/>
                <w:szCs w:val="24"/>
              </w:rPr>
              <w:t>400.0</w:t>
            </w:r>
          </w:p>
        </w:tc>
        <w:tc>
          <w:tcPr>
            <w:tcW w:w="1596" w:type="dxa"/>
          </w:tcPr>
          <w:p>
            <w:pPr>
              <w:spacing w:after="0" w:line="240" w:lineRule="auto"/>
              <w:jc w:val="center"/>
              <w:rPr>
                <w:sz w:val="24"/>
                <w:szCs w:val="24"/>
              </w:rPr>
            </w:pPr>
            <w:r>
              <w:rPr>
                <w:sz w:val="24"/>
                <w:szCs w:val="24"/>
              </w:rPr>
              <w:t>206</w:t>
            </w: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spacing w:after="0" w:line="240" w:lineRule="auto"/>
              <w:jc w:val="center"/>
              <w:rPr>
                <w:sz w:val="24"/>
                <w:szCs w:val="24"/>
              </w:rPr>
            </w:pPr>
            <w:r>
              <w:rPr>
                <w:sz w:val="24"/>
                <w:szCs w:val="24"/>
              </w:rPr>
              <w:t>235.0</w:t>
            </w:r>
          </w:p>
        </w:tc>
        <w:tc>
          <w:tcPr>
            <w:tcW w:w="1596" w:type="dxa"/>
          </w:tcPr>
          <w:p>
            <w:pPr>
              <w:spacing w:after="0" w:line="240" w:lineRule="auto"/>
              <w:jc w:val="center"/>
              <w:rPr>
                <w:sz w:val="24"/>
                <w:szCs w:val="24"/>
              </w:rPr>
            </w:pPr>
            <w:r>
              <w:rPr>
                <w:sz w:val="24"/>
                <w:szCs w:val="24"/>
              </w:rPr>
              <w:t>227.0</w:t>
            </w:r>
          </w:p>
        </w:tc>
        <w:tc>
          <w:tcPr>
            <w:tcW w:w="1596" w:type="dxa"/>
          </w:tcPr>
          <w:p>
            <w:pPr>
              <w:spacing w:after="0" w:line="240" w:lineRule="auto"/>
              <w:jc w:val="center"/>
              <w:rPr>
                <w:sz w:val="24"/>
                <w:szCs w:val="24"/>
              </w:rPr>
            </w:pPr>
            <w:r>
              <w:rPr>
                <w:sz w:val="24"/>
                <w:szCs w:val="24"/>
              </w:rPr>
              <w:t>91</w:t>
            </w: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spacing w:after="0" w:line="240" w:lineRule="auto"/>
              <w:jc w:val="center"/>
              <w:rPr>
                <w:sz w:val="24"/>
                <w:szCs w:val="24"/>
              </w:rPr>
            </w:pPr>
            <w:r>
              <w:rPr>
                <w:sz w:val="24"/>
                <w:szCs w:val="24"/>
              </w:rPr>
              <w:t>638.0</w:t>
            </w:r>
          </w:p>
        </w:tc>
        <w:tc>
          <w:tcPr>
            <w:tcW w:w="1596" w:type="dxa"/>
          </w:tcPr>
          <w:p>
            <w:pPr>
              <w:spacing w:after="0" w:line="240" w:lineRule="auto"/>
              <w:jc w:val="center"/>
              <w:rPr>
                <w:sz w:val="24"/>
                <w:szCs w:val="24"/>
              </w:rPr>
            </w:pPr>
            <w:r>
              <w:rPr>
                <w:sz w:val="24"/>
                <w:szCs w:val="24"/>
              </w:rPr>
              <w:t>618.0</w:t>
            </w:r>
          </w:p>
        </w:tc>
        <w:tc>
          <w:tcPr>
            <w:tcW w:w="1596" w:type="dxa"/>
          </w:tcPr>
          <w:p>
            <w:pPr>
              <w:spacing w:after="0" w:line="240" w:lineRule="auto"/>
              <w:jc w:val="center"/>
              <w:rPr>
                <w:sz w:val="24"/>
                <w:szCs w:val="24"/>
              </w:rPr>
            </w:pPr>
            <w:r>
              <w:rPr>
                <w:sz w:val="24"/>
                <w:szCs w:val="24"/>
              </w:rPr>
              <w:t>100</w:t>
            </w: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spacing w:after="0" w:line="240" w:lineRule="auto"/>
              <w:jc w:val="center"/>
              <w:rPr>
                <w:sz w:val="24"/>
                <w:szCs w:val="24"/>
              </w:rPr>
            </w:pPr>
            <w:r>
              <w:rPr>
                <w:sz w:val="24"/>
                <w:szCs w:val="24"/>
              </w:rPr>
              <w:t>629.0</w:t>
            </w:r>
          </w:p>
        </w:tc>
        <w:tc>
          <w:tcPr>
            <w:tcW w:w="1596" w:type="dxa"/>
          </w:tcPr>
          <w:p>
            <w:pPr>
              <w:spacing w:after="0" w:line="240" w:lineRule="auto"/>
              <w:jc w:val="center"/>
              <w:rPr>
                <w:sz w:val="24"/>
                <w:szCs w:val="24"/>
              </w:rPr>
            </w:pPr>
            <w:r>
              <w:rPr>
                <w:sz w:val="24"/>
                <w:szCs w:val="24"/>
              </w:rPr>
              <w:t>600.0</w:t>
            </w:r>
          </w:p>
        </w:tc>
        <w:tc>
          <w:tcPr>
            <w:tcW w:w="1596" w:type="dxa"/>
          </w:tcPr>
          <w:p>
            <w:pPr>
              <w:spacing w:after="0" w:line="240" w:lineRule="auto"/>
              <w:jc w:val="center"/>
              <w:rPr>
                <w:sz w:val="24"/>
                <w:szCs w:val="24"/>
              </w:rPr>
            </w:pPr>
            <w:r>
              <w:rPr>
                <w:sz w:val="24"/>
                <w:szCs w:val="24"/>
              </w:rPr>
              <w:t>97</w:t>
            </w: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spacing w:after="0" w:line="240" w:lineRule="auto"/>
              <w:jc w:val="center"/>
              <w:rPr>
                <w:sz w:val="24"/>
                <w:szCs w:val="24"/>
              </w:rPr>
            </w:pPr>
            <w:r>
              <w:rPr>
                <w:sz w:val="24"/>
                <w:szCs w:val="24"/>
              </w:rPr>
              <w:t>329.0</w:t>
            </w:r>
          </w:p>
        </w:tc>
        <w:tc>
          <w:tcPr>
            <w:tcW w:w="1596" w:type="dxa"/>
          </w:tcPr>
          <w:p>
            <w:pPr>
              <w:spacing w:after="0" w:line="240" w:lineRule="auto"/>
              <w:jc w:val="center"/>
              <w:rPr>
                <w:sz w:val="24"/>
                <w:szCs w:val="24"/>
              </w:rPr>
            </w:pPr>
            <w:r>
              <w:rPr>
                <w:sz w:val="24"/>
                <w:szCs w:val="24"/>
              </w:rPr>
              <w:t>309.0</w:t>
            </w:r>
          </w:p>
        </w:tc>
        <w:tc>
          <w:tcPr>
            <w:tcW w:w="1596" w:type="dxa"/>
          </w:tcPr>
          <w:p>
            <w:pPr>
              <w:spacing w:after="0" w:line="240" w:lineRule="auto"/>
              <w:jc w:val="center"/>
              <w:rPr>
                <w:sz w:val="24"/>
                <w:szCs w:val="24"/>
              </w:rPr>
            </w:pPr>
            <w:r>
              <w:rPr>
                <w:sz w:val="24"/>
                <w:szCs w:val="24"/>
              </w:rPr>
              <w:t>114</w:t>
            </w: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spacing w:after="0" w:line="240" w:lineRule="auto"/>
              <w:jc w:val="center"/>
              <w:rPr>
                <w:sz w:val="24"/>
                <w:szCs w:val="24"/>
              </w:rPr>
            </w:pPr>
            <w:r>
              <w:rPr>
                <w:sz w:val="24"/>
                <w:szCs w:val="24"/>
              </w:rPr>
              <w:t>595.0</w:t>
            </w:r>
          </w:p>
        </w:tc>
        <w:tc>
          <w:tcPr>
            <w:tcW w:w="1596" w:type="dxa"/>
          </w:tcPr>
          <w:p>
            <w:pPr>
              <w:spacing w:after="0" w:line="240" w:lineRule="auto"/>
              <w:jc w:val="center"/>
              <w:rPr>
                <w:sz w:val="24"/>
                <w:szCs w:val="24"/>
              </w:rPr>
            </w:pPr>
            <w:r>
              <w:rPr>
                <w:sz w:val="24"/>
                <w:szCs w:val="24"/>
              </w:rPr>
              <w:t>555.0</w:t>
            </w:r>
          </w:p>
        </w:tc>
        <w:tc>
          <w:tcPr>
            <w:tcW w:w="1596" w:type="dxa"/>
          </w:tcPr>
          <w:p>
            <w:pPr>
              <w:spacing w:after="0" w:line="240" w:lineRule="auto"/>
              <w:jc w:val="center"/>
              <w:rPr>
                <w:sz w:val="24"/>
                <w:szCs w:val="24"/>
              </w:rPr>
            </w:pPr>
            <w:r>
              <w:rPr>
                <w:sz w:val="24"/>
                <w:szCs w:val="24"/>
              </w:rPr>
              <w:t>45</w:t>
            </w: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spacing w:after="0" w:line="240" w:lineRule="auto"/>
              <w:jc w:val="center"/>
              <w:rPr>
                <w:sz w:val="24"/>
                <w:szCs w:val="24"/>
              </w:rPr>
            </w:pPr>
            <w:r>
              <w:rPr>
                <w:sz w:val="24"/>
                <w:szCs w:val="24"/>
              </w:rPr>
              <w:t>339.0</w:t>
            </w:r>
          </w:p>
        </w:tc>
        <w:tc>
          <w:tcPr>
            <w:tcW w:w="1596" w:type="dxa"/>
          </w:tcPr>
          <w:p>
            <w:pPr>
              <w:spacing w:after="0" w:line="240" w:lineRule="auto"/>
              <w:jc w:val="center"/>
              <w:rPr>
                <w:sz w:val="24"/>
                <w:szCs w:val="24"/>
              </w:rPr>
            </w:pPr>
            <w:r>
              <w:rPr>
                <w:sz w:val="24"/>
                <w:szCs w:val="24"/>
              </w:rPr>
              <w:t>315.0</w:t>
            </w:r>
          </w:p>
        </w:tc>
        <w:tc>
          <w:tcPr>
            <w:tcW w:w="1596" w:type="dxa"/>
          </w:tcPr>
          <w:p>
            <w:pPr>
              <w:spacing w:after="0" w:line="240" w:lineRule="auto"/>
              <w:jc w:val="center"/>
              <w:rPr>
                <w:sz w:val="24"/>
                <w:szCs w:val="24"/>
              </w:rPr>
            </w:pPr>
            <w:r>
              <w:rPr>
                <w:sz w:val="24"/>
                <w:szCs w:val="24"/>
              </w:rPr>
              <w:t>150</w:t>
            </w: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spacing w:after="0" w:line="240" w:lineRule="auto"/>
              <w:jc w:val="center"/>
              <w:rPr>
                <w:sz w:val="24"/>
                <w:szCs w:val="24"/>
              </w:rPr>
            </w:pPr>
            <w:r>
              <w:rPr>
                <w:sz w:val="24"/>
                <w:szCs w:val="24"/>
              </w:rPr>
              <w:t>215.0</w:t>
            </w:r>
          </w:p>
        </w:tc>
        <w:tc>
          <w:tcPr>
            <w:tcW w:w="1596" w:type="dxa"/>
          </w:tcPr>
          <w:p>
            <w:pPr>
              <w:spacing w:after="0" w:line="240" w:lineRule="auto"/>
              <w:jc w:val="center"/>
              <w:rPr>
                <w:sz w:val="24"/>
                <w:szCs w:val="24"/>
              </w:rPr>
            </w:pPr>
            <w:r>
              <w:rPr>
                <w:sz w:val="24"/>
                <w:szCs w:val="24"/>
              </w:rPr>
              <w:t>200.0</w:t>
            </w:r>
          </w:p>
        </w:tc>
        <w:tc>
          <w:tcPr>
            <w:tcW w:w="1596" w:type="dxa"/>
          </w:tcPr>
          <w:p>
            <w:pPr>
              <w:spacing w:after="0" w:line="240" w:lineRule="auto"/>
              <w:jc w:val="center"/>
              <w:rPr>
                <w:sz w:val="24"/>
                <w:szCs w:val="24"/>
              </w:rPr>
            </w:pPr>
            <w:r>
              <w:rPr>
                <w:sz w:val="24"/>
                <w:szCs w:val="24"/>
              </w:rPr>
              <w:t>48</w:t>
            </w: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spacing w:after="0" w:line="240" w:lineRule="auto"/>
              <w:jc w:val="center"/>
              <w:rPr>
                <w:sz w:val="24"/>
                <w:szCs w:val="24"/>
              </w:rPr>
            </w:pPr>
            <w:r>
              <w:rPr>
                <w:sz w:val="24"/>
                <w:szCs w:val="24"/>
              </w:rPr>
              <w:t>395.0</w:t>
            </w:r>
          </w:p>
        </w:tc>
        <w:tc>
          <w:tcPr>
            <w:tcW w:w="1596" w:type="dxa"/>
          </w:tcPr>
          <w:p>
            <w:pPr>
              <w:spacing w:after="0" w:line="240" w:lineRule="auto"/>
              <w:jc w:val="center"/>
              <w:rPr>
                <w:sz w:val="24"/>
                <w:szCs w:val="24"/>
              </w:rPr>
            </w:pPr>
            <w:r>
              <w:rPr>
                <w:sz w:val="24"/>
                <w:szCs w:val="24"/>
              </w:rPr>
              <w:t>375.0</w:t>
            </w:r>
          </w:p>
        </w:tc>
        <w:tc>
          <w:tcPr>
            <w:tcW w:w="1596" w:type="dxa"/>
          </w:tcPr>
          <w:p>
            <w:pPr>
              <w:spacing w:after="0" w:line="240" w:lineRule="auto"/>
              <w:jc w:val="center"/>
              <w:rPr>
                <w:sz w:val="24"/>
                <w:szCs w:val="24"/>
              </w:rPr>
            </w:pPr>
            <w:r>
              <w:rPr>
                <w:sz w:val="24"/>
                <w:szCs w:val="24"/>
              </w:rPr>
              <w:t>135</w:t>
            </w: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spacing w:after="0" w:line="240" w:lineRule="auto"/>
              <w:jc w:val="center"/>
              <w:rPr>
                <w:sz w:val="24"/>
                <w:szCs w:val="24"/>
              </w:rPr>
            </w:pPr>
            <w:r>
              <w:rPr>
                <w:sz w:val="24"/>
                <w:szCs w:val="24"/>
              </w:rPr>
              <w:t>449.0</w:t>
            </w:r>
          </w:p>
        </w:tc>
        <w:tc>
          <w:tcPr>
            <w:tcW w:w="1596" w:type="dxa"/>
          </w:tcPr>
          <w:p>
            <w:pPr>
              <w:spacing w:after="0" w:line="240" w:lineRule="auto"/>
              <w:jc w:val="center"/>
              <w:rPr>
                <w:sz w:val="24"/>
                <w:szCs w:val="24"/>
              </w:rPr>
            </w:pPr>
            <w:r>
              <w:rPr>
                <w:sz w:val="24"/>
                <w:szCs w:val="24"/>
              </w:rPr>
              <w:t>425.0</w:t>
            </w:r>
          </w:p>
        </w:tc>
        <w:tc>
          <w:tcPr>
            <w:tcW w:w="1596" w:type="dxa"/>
          </w:tcPr>
          <w:p>
            <w:pPr>
              <w:spacing w:after="0" w:line="240" w:lineRule="auto"/>
              <w:jc w:val="center"/>
              <w:rPr>
                <w:sz w:val="24"/>
                <w:szCs w:val="24"/>
              </w:rPr>
            </w:pPr>
            <w:r>
              <w:rPr>
                <w:sz w:val="24"/>
                <w:szCs w:val="24"/>
              </w:rPr>
              <w:t>53</w:t>
            </w: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spacing w:after="0" w:line="240" w:lineRule="auto"/>
              <w:jc w:val="center"/>
              <w:rPr>
                <w:sz w:val="24"/>
                <w:szCs w:val="24"/>
              </w:rPr>
            </w:pPr>
            <w:r>
              <w:rPr>
                <w:sz w:val="24"/>
                <w:szCs w:val="24"/>
              </w:rPr>
              <w:t>499.0</w:t>
            </w:r>
          </w:p>
        </w:tc>
        <w:tc>
          <w:tcPr>
            <w:tcW w:w="1596" w:type="dxa"/>
          </w:tcPr>
          <w:p>
            <w:pPr>
              <w:spacing w:after="0" w:line="240" w:lineRule="auto"/>
              <w:jc w:val="center"/>
              <w:rPr>
                <w:sz w:val="24"/>
                <w:szCs w:val="24"/>
              </w:rPr>
            </w:pPr>
            <w:r>
              <w:rPr>
                <w:sz w:val="24"/>
                <w:szCs w:val="24"/>
              </w:rPr>
              <w:t>465.0</w:t>
            </w:r>
          </w:p>
        </w:tc>
        <w:tc>
          <w:tcPr>
            <w:tcW w:w="1596" w:type="dxa"/>
          </w:tcPr>
          <w:p>
            <w:pPr>
              <w:spacing w:after="0" w:line="240" w:lineRule="auto"/>
              <w:jc w:val="center"/>
              <w:rPr>
                <w:sz w:val="24"/>
                <w:szCs w:val="24"/>
              </w:rPr>
            </w:pPr>
            <w:r>
              <w:rPr>
                <w:sz w:val="24"/>
                <w:szCs w:val="24"/>
              </w:rPr>
              <w:t>86</w:t>
            </w: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spacing w:after="0" w:line="240" w:lineRule="auto"/>
              <w:jc w:val="center"/>
              <w:rPr>
                <w:sz w:val="24"/>
                <w:szCs w:val="24"/>
              </w:rPr>
            </w:pPr>
            <w:r>
              <w:rPr>
                <w:sz w:val="24"/>
                <w:szCs w:val="24"/>
              </w:rPr>
              <w:t>439.0</w:t>
            </w:r>
          </w:p>
        </w:tc>
        <w:tc>
          <w:tcPr>
            <w:tcW w:w="1596" w:type="dxa"/>
          </w:tcPr>
          <w:p>
            <w:pPr>
              <w:spacing w:after="0" w:line="240" w:lineRule="auto"/>
              <w:jc w:val="center"/>
              <w:rPr>
                <w:sz w:val="24"/>
                <w:szCs w:val="24"/>
              </w:rPr>
            </w:pPr>
            <w:r>
              <w:rPr>
                <w:sz w:val="24"/>
                <w:szCs w:val="24"/>
              </w:rPr>
              <w:t>428.5</w:t>
            </w:r>
          </w:p>
        </w:tc>
        <w:tc>
          <w:tcPr>
            <w:tcW w:w="1596" w:type="dxa"/>
          </w:tcPr>
          <w:p>
            <w:pPr>
              <w:spacing w:after="0" w:line="240" w:lineRule="auto"/>
              <w:jc w:val="center"/>
              <w:rPr>
                <w:sz w:val="24"/>
                <w:szCs w:val="24"/>
              </w:rPr>
            </w:pPr>
            <w:r>
              <w:rPr>
                <w:sz w:val="24"/>
                <w:szCs w:val="24"/>
              </w:rPr>
              <w:t>158</w:t>
            </w: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c>
          <w:tcPr>
            <w:tcW w:w="1596" w:type="dxa"/>
          </w:tcPr>
          <w:p>
            <w:pPr>
              <w:spacing w:after="0" w:line="240" w:lineRule="auto"/>
              <w:jc w:val="center"/>
              <w:rPr>
                <w:sz w:val="24"/>
                <w:szCs w:val="24"/>
              </w:rPr>
            </w:pPr>
          </w:p>
        </w:tc>
      </w:tr>
    </w:tbl>
    <w:p>
      <w:pPr>
        <w:spacing w:after="0"/>
        <w:rPr>
          <w:sz w:val="24"/>
          <w:szCs w:val="24"/>
        </w:rPr>
      </w:pPr>
    </w:p>
    <w:p>
      <w:pPr>
        <w:spacing w:after="0"/>
        <w:rPr>
          <w:b/>
          <w:sz w:val="24"/>
          <w:szCs w:val="24"/>
        </w:rPr>
      </w:pPr>
      <w:r>
        <w:rPr>
          <w:b/>
          <w:sz w:val="24"/>
          <w:szCs w:val="24"/>
        </w:rPr>
        <w:t>Managerial Report</w:t>
      </w:r>
    </w:p>
    <w:p>
      <w:pPr>
        <w:pStyle w:val="6"/>
        <w:numPr>
          <w:ilvl w:val="0"/>
          <w:numId w:val="1"/>
        </w:numPr>
        <w:spacing w:after="0"/>
        <w:rPr>
          <w:sz w:val="24"/>
          <w:szCs w:val="24"/>
        </w:rPr>
      </w:pPr>
      <w:r>
        <w:rPr>
          <w:sz w:val="24"/>
          <w:szCs w:val="24"/>
        </w:rPr>
        <w:t>Use appropriate descriptive statistics to summarize each of the three variables for the 40 Gulf View condominiums.</w:t>
      </w:r>
    </w:p>
    <w:p>
      <w:pPr>
        <w:pStyle w:val="6"/>
        <w:numPr>
          <w:ilvl w:val="0"/>
          <w:numId w:val="1"/>
        </w:numPr>
        <w:spacing w:after="0"/>
        <w:rPr>
          <w:sz w:val="24"/>
          <w:szCs w:val="24"/>
        </w:rPr>
      </w:pPr>
      <w:r>
        <w:rPr>
          <w:sz w:val="24"/>
          <w:szCs w:val="24"/>
        </w:rPr>
        <w:t>Use appropriate descriptive statistics to summarize each of the three variables for the 18 No Gulf View condominiums.</w:t>
      </w:r>
    </w:p>
    <w:p>
      <w:pPr>
        <w:pStyle w:val="6"/>
        <w:numPr>
          <w:ilvl w:val="0"/>
          <w:numId w:val="1"/>
        </w:numPr>
        <w:spacing w:after="0"/>
        <w:rPr>
          <w:sz w:val="24"/>
          <w:szCs w:val="24"/>
        </w:rPr>
      </w:pPr>
      <w:r>
        <w:rPr>
          <w:sz w:val="24"/>
          <w:szCs w:val="24"/>
        </w:rPr>
        <w:t>Compare your summary results. Discuss specific statistical results that would help a real estate agent understand the condominium market.</w:t>
      </w:r>
    </w:p>
    <w:p>
      <w:pPr>
        <w:pStyle w:val="6"/>
        <w:numPr>
          <w:ilvl w:val="0"/>
          <w:numId w:val="1"/>
        </w:numPr>
        <w:spacing w:after="0"/>
        <w:rPr>
          <w:sz w:val="24"/>
          <w:szCs w:val="24"/>
        </w:rPr>
      </w:pPr>
      <w:r>
        <w:rPr>
          <w:sz w:val="24"/>
          <w:szCs w:val="24"/>
        </w:rPr>
        <w:t>Develop a 95% confidence interval estimate of the population mean sales price and population mean number of days to sell for Gulf View condominiums. Interpret your results.</w:t>
      </w:r>
    </w:p>
    <w:p>
      <w:pPr>
        <w:pStyle w:val="6"/>
        <w:numPr>
          <w:ilvl w:val="0"/>
          <w:numId w:val="1"/>
        </w:numPr>
        <w:spacing w:after="0"/>
        <w:rPr>
          <w:sz w:val="24"/>
          <w:szCs w:val="24"/>
        </w:rPr>
      </w:pPr>
      <w:r>
        <w:rPr>
          <w:sz w:val="24"/>
          <w:szCs w:val="24"/>
        </w:rPr>
        <w:t>Develop a 95% confidence interval estimate of the population mean sales price and population mean number of days to sell for No Gulf View condominiums. Interpret your results.</w:t>
      </w:r>
    </w:p>
    <w:p>
      <w:pPr>
        <w:pStyle w:val="6"/>
        <w:numPr>
          <w:ilvl w:val="0"/>
          <w:numId w:val="1"/>
        </w:numPr>
        <w:spacing w:after="0"/>
        <w:rPr>
          <w:sz w:val="24"/>
          <w:szCs w:val="24"/>
        </w:rPr>
      </w:pPr>
      <w:r>
        <w:rPr>
          <w:sz w:val="24"/>
          <w:szCs w:val="24"/>
        </w:rPr>
        <w:t>Assume the branch manager requested estimates of the mean selling price of Gulf View condominiums with a margin of error of $40,000 and the mean selling price of No Gulf View condominiums with a margin of error of $15,000. Using 95% confidence, how large should the sample sizes be?</w:t>
      </w:r>
    </w:p>
    <w:p>
      <w:pPr>
        <w:pStyle w:val="6"/>
        <w:numPr>
          <w:ilvl w:val="0"/>
          <w:numId w:val="1"/>
        </w:numPr>
        <w:spacing w:after="0"/>
        <w:rPr>
          <w:sz w:val="24"/>
          <w:szCs w:val="24"/>
        </w:rPr>
      </w:pPr>
      <w:r>
        <w:rPr>
          <w:sz w:val="24"/>
          <w:szCs w:val="24"/>
        </w:rPr>
        <w:t>Gulf Real Estate Properties just signed contracts for two new listings: a Gulf View condominium with a list price of $589,000 and a No Gulf View condominium with a list price of $285,000. What is your estimate of the final selling price and number of days required to sell each of these units?</w:t>
      </w:r>
    </w:p>
    <w:p>
      <w:pPr>
        <w:rPr>
          <w:rFonts w:hint="eastAsia" w:eastAsia="宋体"/>
          <w:sz w:val="24"/>
          <w:szCs w:val="24"/>
          <w:lang w:val="en-US" w:eastAsia="zh-CN"/>
        </w:rPr>
      </w:pPr>
      <w:r>
        <w:rPr>
          <w:rFonts w:hint="eastAsia" w:eastAsia="宋体"/>
          <w:sz w:val="24"/>
          <w:szCs w:val="24"/>
          <w:lang w:val="en-US" w:eastAsia="zh-CN"/>
        </w:rPr>
        <w:t xml:space="preserve">      管理报告</w:t>
      </w:r>
    </w:p>
    <w:p>
      <w:pPr>
        <w:rPr>
          <w:rFonts w:hint="eastAsia" w:eastAsia="宋体"/>
          <w:sz w:val="24"/>
          <w:szCs w:val="24"/>
          <w:lang w:val="en-US" w:eastAsia="zh-CN"/>
        </w:rPr>
      </w:pPr>
      <w:r>
        <w:rPr>
          <w:rFonts w:hint="eastAsia" w:eastAsia="宋体"/>
          <w:sz w:val="24"/>
          <w:szCs w:val="24"/>
          <w:lang w:val="en-US" w:eastAsia="zh-CN"/>
        </w:rPr>
        <w:t>1.使用适当的描述性统计来总结40个海湾视图公寓的三个变量。</w:t>
      </w:r>
    </w:p>
    <w:p>
      <w:pPr>
        <w:rPr>
          <w:rFonts w:hint="eastAsia" w:eastAsia="宋体"/>
          <w:sz w:val="24"/>
          <w:szCs w:val="24"/>
          <w:lang w:val="en-US" w:eastAsia="zh-CN"/>
        </w:rPr>
      </w:pPr>
      <w:r>
        <w:rPr>
          <w:rFonts w:hint="eastAsia" w:eastAsia="宋体"/>
          <w:sz w:val="24"/>
          <w:szCs w:val="24"/>
          <w:lang w:val="en-US" w:eastAsia="zh-CN"/>
        </w:rPr>
        <w:t>2.使用适当的描述性统计来总结18个无海湾景观公寓的三个变量。</w:t>
      </w:r>
    </w:p>
    <w:p>
      <w:pPr>
        <w:rPr>
          <w:rFonts w:hint="eastAsia" w:eastAsia="宋体"/>
          <w:sz w:val="24"/>
          <w:szCs w:val="24"/>
          <w:lang w:val="en-US" w:eastAsia="zh-CN"/>
        </w:rPr>
      </w:pPr>
      <w:r>
        <w:rPr>
          <w:rFonts w:hint="eastAsia" w:eastAsia="宋体"/>
          <w:sz w:val="24"/>
          <w:szCs w:val="24"/>
          <w:lang w:val="en-US" w:eastAsia="zh-CN"/>
        </w:rPr>
        <w:t>3.比较总结结果。讨论具体的统计结果，这将有助于房地产经纪人了解公寓市场。</w:t>
      </w:r>
    </w:p>
    <w:p>
      <w:pPr>
        <w:rPr>
          <w:rFonts w:hint="eastAsia" w:eastAsia="宋体"/>
          <w:sz w:val="24"/>
          <w:szCs w:val="24"/>
          <w:lang w:val="en-US" w:eastAsia="zh-CN"/>
        </w:rPr>
      </w:pPr>
      <w:r>
        <w:rPr>
          <w:rFonts w:hint="eastAsia" w:eastAsia="宋体"/>
          <w:sz w:val="24"/>
          <w:szCs w:val="24"/>
          <w:lang w:val="en-US" w:eastAsia="zh-CN"/>
        </w:rPr>
        <w:t>4.开发海湾景观公寓的人口平均销售价格和人口平均销售天数的95%置信区间估计。解释你的结果。</w:t>
      </w:r>
    </w:p>
    <w:p>
      <w:pPr>
        <w:rPr>
          <w:rFonts w:hint="eastAsia" w:eastAsia="宋体"/>
          <w:sz w:val="24"/>
          <w:szCs w:val="24"/>
          <w:lang w:val="en-US" w:eastAsia="zh-CN"/>
        </w:rPr>
      </w:pPr>
      <w:r>
        <w:rPr>
          <w:rFonts w:hint="eastAsia" w:eastAsia="宋体"/>
          <w:sz w:val="24"/>
          <w:szCs w:val="24"/>
          <w:lang w:val="en-US" w:eastAsia="zh-CN"/>
        </w:rPr>
        <w:t>5.开发一个95%置信区间估计的人口平均销售价格和人口平均天数出售没有海湾景观公寓。解释你的结果。</w:t>
      </w:r>
    </w:p>
    <w:p>
      <w:pPr>
        <w:rPr>
          <w:rFonts w:hint="eastAsia" w:eastAsia="宋体"/>
          <w:sz w:val="24"/>
          <w:szCs w:val="24"/>
          <w:lang w:val="en-US" w:eastAsia="zh-CN"/>
        </w:rPr>
      </w:pPr>
      <w:r>
        <w:rPr>
          <w:rFonts w:hint="eastAsia" w:eastAsia="宋体"/>
          <w:sz w:val="24"/>
          <w:szCs w:val="24"/>
          <w:lang w:val="en-US" w:eastAsia="zh-CN"/>
        </w:rPr>
        <w:t>6.假设分公司经理要求估算Gulf View共管公寓的平均售价(误差为$40,000)和非Gulf View共管公寓的平均售价(误差为$15,000)。使用95%置信，样本容量应该有多大?</w:t>
      </w:r>
    </w:p>
    <w:p>
      <w:pPr>
        <w:rPr>
          <w:rFonts w:hint="eastAsia" w:eastAsia="宋体"/>
          <w:sz w:val="24"/>
          <w:szCs w:val="24"/>
          <w:lang w:val="en-US" w:eastAsia="zh-CN"/>
        </w:rPr>
      </w:pPr>
      <w:r>
        <w:rPr>
          <w:rFonts w:hint="eastAsia" w:eastAsia="宋体"/>
          <w:sz w:val="24"/>
          <w:szCs w:val="24"/>
          <w:lang w:val="en-US" w:eastAsia="zh-CN"/>
        </w:rPr>
        <w:t>7.海湾房地产公司(Gulf Real Estate Properties)刚刚签署了两套新挂牌交易的合同:一套有海湾景观的共管公寓，挂牌价格为58.9万美元，另一套没有海湾景观的共管公寓，挂牌价格为28.5万美元。你估计这些单位的最终售价和销售所需的天数是多少?</w:t>
      </w:r>
    </w:p>
    <w:p>
      <w:pPr>
        <w:rPr>
          <w:sz w:val="24"/>
          <w:szCs w:val="24"/>
        </w:rPr>
      </w:pPr>
      <w:r>
        <w:rPr>
          <w:sz w:val="24"/>
          <w:szCs w:val="24"/>
        </w:rPr>
        <w:br w:type="page"/>
      </w:r>
    </w:p>
    <w:p>
      <w:pPr>
        <w:spacing w:after="0"/>
        <w:jc w:val="center"/>
        <w:rPr>
          <w:sz w:val="24"/>
          <w:szCs w:val="24"/>
        </w:rPr>
      </w:pPr>
      <w:r>
        <w:rPr>
          <w:b/>
          <w:sz w:val="28"/>
          <w:szCs w:val="28"/>
        </w:rPr>
        <w:t>Metropolitan Research, Inc.</w:t>
      </w:r>
    </w:p>
    <w:p>
      <w:pPr>
        <w:spacing w:after="0"/>
        <w:jc w:val="center"/>
        <w:rPr>
          <w:sz w:val="24"/>
          <w:szCs w:val="24"/>
        </w:rPr>
      </w:pPr>
    </w:p>
    <w:p>
      <w:pPr>
        <w:spacing w:after="0"/>
        <w:rPr>
          <w:sz w:val="24"/>
          <w:szCs w:val="24"/>
        </w:rPr>
      </w:pPr>
      <w:r>
        <w:rPr>
          <w:sz w:val="24"/>
          <w:szCs w:val="24"/>
        </w:rPr>
        <w:t>Metropolitan Research, Inc., a consumer research organization, conducts survey designed to evaluate a wide variety of products and services available to consumers. In one particular study, Metropolitan looked at consumer satisfaction with the performance of automobile produced by a major Detroit manufacturer. A questionnaire sent to owners of one of the manufacturer’s full-sized cars revealed several complaints about early transmission problems. To learn more about the transmission failures, Metropolitan used a sample of actual transmission repairs provided by a transmission repair firm in the Detroit area. The following data show the actual number of miles driven for 50 vehicles at the time of transmission failure.</w:t>
      </w:r>
    </w:p>
    <w:p>
      <w:pPr>
        <w:spacing w:after="0"/>
        <w:rPr>
          <w:sz w:val="24"/>
          <w:szCs w:val="24"/>
        </w:rPr>
      </w:pPr>
    </w:p>
    <w:p>
      <w:pPr>
        <w:spacing w:after="0"/>
        <w:rPr>
          <w:sz w:val="24"/>
          <w:szCs w:val="24"/>
        </w:rPr>
      </w:pPr>
      <w:r>
        <w:rPr>
          <w:sz w:val="24"/>
          <w:szCs w:val="24"/>
        </w:rPr>
        <w:t>Metropolitan Research, Inc.，一个消费者研究组织，进行调查，旨在评估各种各样的产品和服务提供给消费者。</w:t>
      </w:r>
      <w:r>
        <w:rPr>
          <w:rFonts w:hint="default"/>
          <w:sz w:val="24"/>
          <w:szCs w:val="24"/>
        </w:rPr>
        <w:t>在一项特别的研究中，大都会调查了消费者对底特律一家主要制造商生产的汽车性能的满意度。向该公司一款全尺寸汽车的车主发送的调查问卷显示，他们对早期的变速器问题提出了多项投诉。为了了解更多关于传输故障的信息，大都会公司使用了底特律地区一家传输修复公司提供的实际传输修复样本。下面的数据显示了在传输故障时50辆车的实际行驶里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7"/>
        <w:gridCol w:w="1197"/>
        <w:gridCol w:w="1197"/>
        <w:gridCol w:w="1197"/>
        <w:gridCol w:w="1197"/>
        <w:gridCol w:w="1197"/>
        <w:gridCol w:w="1197"/>
        <w:gridCol w:w="1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7" w:type="dxa"/>
          </w:tcPr>
          <w:p>
            <w:pPr>
              <w:spacing w:after="0" w:line="240" w:lineRule="auto"/>
              <w:jc w:val="center"/>
              <w:rPr>
                <w:sz w:val="24"/>
                <w:szCs w:val="24"/>
              </w:rPr>
            </w:pPr>
            <w:r>
              <w:rPr>
                <w:sz w:val="24"/>
                <w:szCs w:val="24"/>
              </w:rPr>
              <w:t>85,092</w:t>
            </w:r>
          </w:p>
        </w:tc>
        <w:tc>
          <w:tcPr>
            <w:tcW w:w="1197" w:type="dxa"/>
          </w:tcPr>
          <w:p>
            <w:pPr>
              <w:spacing w:after="0" w:line="240" w:lineRule="auto"/>
              <w:jc w:val="center"/>
              <w:rPr>
                <w:sz w:val="24"/>
                <w:szCs w:val="24"/>
              </w:rPr>
            </w:pPr>
            <w:r>
              <w:rPr>
                <w:sz w:val="24"/>
                <w:szCs w:val="24"/>
              </w:rPr>
              <w:t>32,609</w:t>
            </w:r>
          </w:p>
        </w:tc>
        <w:tc>
          <w:tcPr>
            <w:tcW w:w="1197" w:type="dxa"/>
          </w:tcPr>
          <w:p>
            <w:pPr>
              <w:spacing w:after="0" w:line="240" w:lineRule="auto"/>
              <w:jc w:val="center"/>
              <w:rPr>
                <w:sz w:val="24"/>
                <w:szCs w:val="24"/>
              </w:rPr>
            </w:pPr>
            <w:r>
              <w:rPr>
                <w:sz w:val="24"/>
                <w:szCs w:val="24"/>
              </w:rPr>
              <w:t>59,465</w:t>
            </w:r>
          </w:p>
        </w:tc>
        <w:tc>
          <w:tcPr>
            <w:tcW w:w="1197" w:type="dxa"/>
          </w:tcPr>
          <w:p>
            <w:pPr>
              <w:spacing w:after="0" w:line="240" w:lineRule="auto"/>
              <w:jc w:val="center"/>
              <w:rPr>
                <w:sz w:val="24"/>
                <w:szCs w:val="24"/>
              </w:rPr>
            </w:pPr>
            <w:r>
              <w:rPr>
                <w:sz w:val="24"/>
                <w:szCs w:val="24"/>
              </w:rPr>
              <w:t>77,437</w:t>
            </w:r>
          </w:p>
        </w:tc>
        <w:tc>
          <w:tcPr>
            <w:tcW w:w="1197" w:type="dxa"/>
          </w:tcPr>
          <w:p>
            <w:pPr>
              <w:spacing w:after="0" w:line="240" w:lineRule="auto"/>
              <w:jc w:val="center"/>
              <w:rPr>
                <w:sz w:val="24"/>
                <w:szCs w:val="24"/>
              </w:rPr>
            </w:pPr>
            <w:r>
              <w:rPr>
                <w:sz w:val="24"/>
                <w:szCs w:val="24"/>
              </w:rPr>
              <w:t>32,534</w:t>
            </w:r>
          </w:p>
        </w:tc>
        <w:tc>
          <w:tcPr>
            <w:tcW w:w="1197" w:type="dxa"/>
          </w:tcPr>
          <w:p>
            <w:pPr>
              <w:spacing w:after="0" w:line="240" w:lineRule="auto"/>
              <w:jc w:val="center"/>
              <w:rPr>
                <w:sz w:val="24"/>
                <w:szCs w:val="24"/>
              </w:rPr>
            </w:pPr>
            <w:r>
              <w:rPr>
                <w:sz w:val="24"/>
                <w:szCs w:val="24"/>
              </w:rPr>
              <w:t>64,090</w:t>
            </w:r>
          </w:p>
        </w:tc>
        <w:tc>
          <w:tcPr>
            <w:tcW w:w="1197" w:type="dxa"/>
          </w:tcPr>
          <w:p>
            <w:pPr>
              <w:spacing w:after="0" w:line="240" w:lineRule="auto"/>
              <w:jc w:val="center"/>
              <w:rPr>
                <w:sz w:val="24"/>
                <w:szCs w:val="24"/>
              </w:rPr>
            </w:pPr>
            <w:r>
              <w:rPr>
                <w:sz w:val="24"/>
                <w:szCs w:val="24"/>
              </w:rPr>
              <w:t>32,464</w:t>
            </w:r>
          </w:p>
        </w:tc>
        <w:tc>
          <w:tcPr>
            <w:tcW w:w="1197" w:type="dxa"/>
          </w:tcPr>
          <w:p>
            <w:pPr>
              <w:spacing w:after="0" w:line="240" w:lineRule="auto"/>
              <w:jc w:val="center"/>
              <w:rPr>
                <w:sz w:val="24"/>
                <w:szCs w:val="24"/>
              </w:rPr>
            </w:pPr>
            <w:r>
              <w:rPr>
                <w:sz w:val="24"/>
                <w:szCs w:val="24"/>
              </w:rPr>
              <w:t>59,902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7" w:type="dxa"/>
          </w:tcPr>
          <w:p>
            <w:pPr>
              <w:spacing w:after="0" w:line="240" w:lineRule="auto"/>
              <w:jc w:val="center"/>
              <w:rPr>
                <w:sz w:val="24"/>
                <w:szCs w:val="24"/>
              </w:rPr>
            </w:pPr>
            <w:r>
              <w:rPr>
                <w:sz w:val="24"/>
                <w:szCs w:val="24"/>
              </w:rPr>
              <w:t>39,323</w:t>
            </w:r>
          </w:p>
        </w:tc>
        <w:tc>
          <w:tcPr>
            <w:tcW w:w="1197" w:type="dxa"/>
          </w:tcPr>
          <w:p>
            <w:pPr>
              <w:spacing w:after="0" w:line="240" w:lineRule="auto"/>
              <w:jc w:val="center"/>
              <w:rPr>
                <w:sz w:val="24"/>
                <w:szCs w:val="24"/>
              </w:rPr>
            </w:pPr>
            <w:r>
              <w:rPr>
                <w:sz w:val="24"/>
                <w:szCs w:val="24"/>
              </w:rPr>
              <w:t>89,641</w:t>
            </w:r>
          </w:p>
        </w:tc>
        <w:tc>
          <w:tcPr>
            <w:tcW w:w="1197" w:type="dxa"/>
          </w:tcPr>
          <w:p>
            <w:pPr>
              <w:spacing w:after="0" w:line="240" w:lineRule="auto"/>
              <w:jc w:val="center"/>
              <w:rPr>
                <w:sz w:val="24"/>
                <w:szCs w:val="24"/>
              </w:rPr>
            </w:pPr>
            <w:r>
              <w:rPr>
                <w:sz w:val="24"/>
                <w:szCs w:val="24"/>
              </w:rPr>
              <w:t>94,219</w:t>
            </w:r>
          </w:p>
        </w:tc>
        <w:tc>
          <w:tcPr>
            <w:tcW w:w="1197" w:type="dxa"/>
          </w:tcPr>
          <w:p>
            <w:pPr>
              <w:spacing w:after="0" w:line="240" w:lineRule="auto"/>
              <w:jc w:val="center"/>
              <w:rPr>
                <w:sz w:val="24"/>
                <w:szCs w:val="24"/>
              </w:rPr>
            </w:pPr>
            <w:r>
              <w:rPr>
                <w:sz w:val="24"/>
                <w:szCs w:val="24"/>
              </w:rPr>
              <w:t>116,803</w:t>
            </w:r>
          </w:p>
        </w:tc>
        <w:tc>
          <w:tcPr>
            <w:tcW w:w="1197" w:type="dxa"/>
          </w:tcPr>
          <w:p>
            <w:pPr>
              <w:spacing w:after="0" w:line="240" w:lineRule="auto"/>
              <w:jc w:val="center"/>
              <w:rPr>
                <w:sz w:val="24"/>
                <w:szCs w:val="24"/>
              </w:rPr>
            </w:pPr>
            <w:r>
              <w:rPr>
                <w:sz w:val="24"/>
                <w:szCs w:val="24"/>
              </w:rPr>
              <w:t>92,857</w:t>
            </w:r>
          </w:p>
        </w:tc>
        <w:tc>
          <w:tcPr>
            <w:tcW w:w="1197" w:type="dxa"/>
          </w:tcPr>
          <w:p>
            <w:pPr>
              <w:spacing w:after="0" w:line="240" w:lineRule="auto"/>
              <w:jc w:val="center"/>
              <w:rPr>
                <w:sz w:val="24"/>
                <w:szCs w:val="24"/>
              </w:rPr>
            </w:pPr>
            <w:r>
              <w:rPr>
                <w:sz w:val="24"/>
                <w:szCs w:val="24"/>
              </w:rPr>
              <w:t>63,436</w:t>
            </w:r>
          </w:p>
        </w:tc>
        <w:tc>
          <w:tcPr>
            <w:tcW w:w="1197" w:type="dxa"/>
          </w:tcPr>
          <w:p>
            <w:pPr>
              <w:spacing w:after="0" w:line="240" w:lineRule="auto"/>
              <w:jc w:val="center"/>
              <w:rPr>
                <w:sz w:val="24"/>
                <w:szCs w:val="24"/>
              </w:rPr>
            </w:pPr>
            <w:r>
              <w:rPr>
                <w:sz w:val="24"/>
                <w:szCs w:val="24"/>
              </w:rPr>
              <w:t>65,605</w:t>
            </w:r>
          </w:p>
        </w:tc>
        <w:tc>
          <w:tcPr>
            <w:tcW w:w="1197" w:type="dxa"/>
          </w:tcPr>
          <w:p>
            <w:pPr>
              <w:spacing w:after="0" w:line="240" w:lineRule="auto"/>
              <w:jc w:val="center"/>
              <w:rPr>
                <w:sz w:val="24"/>
                <w:szCs w:val="24"/>
              </w:rPr>
            </w:pPr>
            <w:r>
              <w:rPr>
                <w:sz w:val="24"/>
                <w:szCs w:val="24"/>
              </w:rPr>
              <w:t>85,861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7" w:type="dxa"/>
          </w:tcPr>
          <w:p>
            <w:pPr>
              <w:spacing w:after="0" w:line="240" w:lineRule="auto"/>
              <w:jc w:val="center"/>
              <w:rPr>
                <w:sz w:val="24"/>
                <w:szCs w:val="24"/>
              </w:rPr>
            </w:pPr>
            <w:r>
              <w:rPr>
                <w:sz w:val="24"/>
                <w:szCs w:val="24"/>
              </w:rPr>
              <w:t>64,342</w:t>
            </w:r>
          </w:p>
        </w:tc>
        <w:tc>
          <w:tcPr>
            <w:tcW w:w="1197" w:type="dxa"/>
          </w:tcPr>
          <w:p>
            <w:pPr>
              <w:spacing w:after="0" w:line="240" w:lineRule="auto"/>
              <w:jc w:val="center"/>
              <w:rPr>
                <w:sz w:val="24"/>
                <w:szCs w:val="24"/>
              </w:rPr>
            </w:pPr>
            <w:r>
              <w:rPr>
                <w:sz w:val="24"/>
                <w:szCs w:val="24"/>
              </w:rPr>
              <w:t>61,978</w:t>
            </w:r>
          </w:p>
        </w:tc>
        <w:tc>
          <w:tcPr>
            <w:tcW w:w="1197" w:type="dxa"/>
          </w:tcPr>
          <w:p>
            <w:pPr>
              <w:spacing w:after="0" w:line="240" w:lineRule="auto"/>
              <w:jc w:val="center"/>
              <w:rPr>
                <w:sz w:val="24"/>
                <w:szCs w:val="24"/>
              </w:rPr>
            </w:pPr>
            <w:r>
              <w:rPr>
                <w:sz w:val="24"/>
                <w:szCs w:val="24"/>
              </w:rPr>
              <w:t>67,998</w:t>
            </w:r>
          </w:p>
        </w:tc>
        <w:tc>
          <w:tcPr>
            <w:tcW w:w="1197" w:type="dxa"/>
          </w:tcPr>
          <w:p>
            <w:pPr>
              <w:spacing w:after="0" w:line="240" w:lineRule="auto"/>
              <w:jc w:val="center"/>
              <w:rPr>
                <w:sz w:val="24"/>
                <w:szCs w:val="24"/>
              </w:rPr>
            </w:pPr>
            <w:r>
              <w:rPr>
                <w:sz w:val="24"/>
                <w:szCs w:val="24"/>
              </w:rPr>
              <w:t>59,817</w:t>
            </w:r>
          </w:p>
        </w:tc>
        <w:tc>
          <w:tcPr>
            <w:tcW w:w="1197" w:type="dxa"/>
          </w:tcPr>
          <w:p>
            <w:pPr>
              <w:spacing w:after="0" w:line="240" w:lineRule="auto"/>
              <w:jc w:val="center"/>
              <w:rPr>
                <w:sz w:val="24"/>
                <w:szCs w:val="24"/>
              </w:rPr>
            </w:pPr>
            <w:r>
              <w:rPr>
                <w:sz w:val="24"/>
                <w:szCs w:val="24"/>
              </w:rPr>
              <w:t>101,769</w:t>
            </w:r>
          </w:p>
        </w:tc>
        <w:tc>
          <w:tcPr>
            <w:tcW w:w="1197" w:type="dxa"/>
          </w:tcPr>
          <w:p>
            <w:pPr>
              <w:spacing w:after="0" w:line="240" w:lineRule="auto"/>
              <w:jc w:val="center"/>
              <w:rPr>
                <w:sz w:val="24"/>
                <w:szCs w:val="24"/>
              </w:rPr>
            </w:pPr>
            <w:r>
              <w:rPr>
                <w:sz w:val="24"/>
                <w:szCs w:val="24"/>
              </w:rPr>
              <w:t>95,774</w:t>
            </w:r>
          </w:p>
        </w:tc>
        <w:tc>
          <w:tcPr>
            <w:tcW w:w="1197" w:type="dxa"/>
          </w:tcPr>
          <w:p>
            <w:pPr>
              <w:spacing w:after="0" w:line="240" w:lineRule="auto"/>
              <w:jc w:val="center"/>
              <w:rPr>
                <w:sz w:val="24"/>
                <w:szCs w:val="24"/>
              </w:rPr>
            </w:pPr>
            <w:r>
              <w:rPr>
                <w:sz w:val="24"/>
                <w:szCs w:val="24"/>
              </w:rPr>
              <w:t>121,352</w:t>
            </w:r>
          </w:p>
        </w:tc>
        <w:tc>
          <w:tcPr>
            <w:tcW w:w="1197" w:type="dxa"/>
          </w:tcPr>
          <w:p>
            <w:pPr>
              <w:spacing w:after="0" w:line="240" w:lineRule="auto"/>
              <w:jc w:val="center"/>
              <w:rPr>
                <w:sz w:val="24"/>
                <w:szCs w:val="24"/>
              </w:rPr>
            </w:pPr>
            <w:r>
              <w:rPr>
                <w:sz w:val="24"/>
                <w:szCs w:val="24"/>
              </w:rPr>
              <w:t>69,568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7" w:type="dxa"/>
          </w:tcPr>
          <w:p>
            <w:pPr>
              <w:spacing w:after="0" w:line="240" w:lineRule="auto"/>
              <w:jc w:val="center"/>
              <w:rPr>
                <w:sz w:val="24"/>
                <w:szCs w:val="24"/>
              </w:rPr>
            </w:pPr>
            <w:r>
              <w:rPr>
                <w:sz w:val="24"/>
                <w:szCs w:val="24"/>
              </w:rPr>
              <w:t>74,276</w:t>
            </w:r>
          </w:p>
        </w:tc>
        <w:tc>
          <w:tcPr>
            <w:tcW w:w="1197" w:type="dxa"/>
          </w:tcPr>
          <w:p>
            <w:pPr>
              <w:spacing w:after="0" w:line="240" w:lineRule="auto"/>
              <w:jc w:val="center"/>
              <w:rPr>
                <w:sz w:val="24"/>
                <w:szCs w:val="24"/>
              </w:rPr>
            </w:pPr>
            <w:r>
              <w:rPr>
                <w:sz w:val="24"/>
                <w:szCs w:val="24"/>
              </w:rPr>
              <w:t>66,998</w:t>
            </w:r>
          </w:p>
        </w:tc>
        <w:tc>
          <w:tcPr>
            <w:tcW w:w="1197" w:type="dxa"/>
          </w:tcPr>
          <w:p>
            <w:pPr>
              <w:spacing w:after="0" w:line="240" w:lineRule="auto"/>
              <w:jc w:val="center"/>
              <w:rPr>
                <w:sz w:val="24"/>
                <w:szCs w:val="24"/>
              </w:rPr>
            </w:pPr>
            <w:r>
              <w:rPr>
                <w:sz w:val="24"/>
                <w:szCs w:val="24"/>
              </w:rPr>
              <w:t>40,001</w:t>
            </w:r>
          </w:p>
        </w:tc>
        <w:tc>
          <w:tcPr>
            <w:tcW w:w="1197" w:type="dxa"/>
          </w:tcPr>
          <w:p>
            <w:pPr>
              <w:spacing w:after="0" w:line="240" w:lineRule="auto"/>
              <w:jc w:val="center"/>
              <w:rPr>
                <w:sz w:val="24"/>
                <w:szCs w:val="24"/>
              </w:rPr>
            </w:pPr>
            <w:r>
              <w:rPr>
                <w:sz w:val="24"/>
                <w:szCs w:val="24"/>
              </w:rPr>
              <w:t>70,069</w:t>
            </w:r>
          </w:p>
        </w:tc>
        <w:tc>
          <w:tcPr>
            <w:tcW w:w="1197" w:type="dxa"/>
          </w:tcPr>
          <w:p>
            <w:pPr>
              <w:spacing w:after="0" w:line="240" w:lineRule="auto"/>
              <w:jc w:val="center"/>
              <w:rPr>
                <w:sz w:val="24"/>
                <w:szCs w:val="24"/>
              </w:rPr>
            </w:pPr>
            <w:r>
              <w:rPr>
                <w:sz w:val="24"/>
                <w:szCs w:val="24"/>
              </w:rPr>
              <w:t>25,066</w:t>
            </w:r>
          </w:p>
        </w:tc>
        <w:tc>
          <w:tcPr>
            <w:tcW w:w="1197" w:type="dxa"/>
          </w:tcPr>
          <w:p>
            <w:pPr>
              <w:spacing w:after="0" w:line="240" w:lineRule="auto"/>
              <w:jc w:val="center"/>
              <w:rPr>
                <w:sz w:val="24"/>
                <w:szCs w:val="24"/>
              </w:rPr>
            </w:pPr>
            <w:r>
              <w:rPr>
                <w:sz w:val="24"/>
                <w:szCs w:val="24"/>
              </w:rPr>
              <w:t>77,098</w:t>
            </w:r>
          </w:p>
        </w:tc>
        <w:tc>
          <w:tcPr>
            <w:tcW w:w="1197" w:type="dxa"/>
          </w:tcPr>
          <w:p>
            <w:pPr>
              <w:spacing w:after="0" w:line="240" w:lineRule="auto"/>
              <w:jc w:val="center"/>
              <w:rPr>
                <w:sz w:val="24"/>
                <w:szCs w:val="24"/>
              </w:rPr>
            </w:pPr>
            <w:r>
              <w:rPr>
                <w:sz w:val="24"/>
                <w:szCs w:val="24"/>
              </w:rPr>
              <w:t>69,922</w:t>
            </w:r>
          </w:p>
        </w:tc>
        <w:tc>
          <w:tcPr>
            <w:tcW w:w="1197" w:type="dxa"/>
          </w:tcPr>
          <w:p>
            <w:pPr>
              <w:spacing w:after="0" w:line="240" w:lineRule="auto"/>
              <w:jc w:val="center"/>
              <w:rPr>
                <w:sz w:val="24"/>
                <w:szCs w:val="24"/>
              </w:rPr>
            </w:pPr>
            <w:r>
              <w:rPr>
                <w:sz w:val="24"/>
                <w:szCs w:val="24"/>
              </w:rPr>
              <w:t>35,662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7" w:type="dxa"/>
          </w:tcPr>
          <w:p>
            <w:pPr>
              <w:spacing w:after="0" w:line="240" w:lineRule="auto"/>
              <w:jc w:val="center"/>
              <w:rPr>
                <w:sz w:val="24"/>
                <w:szCs w:val="24"/>
              </w:rPr>
            </w:pPr>
            <w:r>
              <w:rPr>
                <w:sz w:val="24"/>
                <w:szCs w:val="24"/>
              </w:rPr>
              <w:t>74,425</w:t>
            </w:r>
          </w:p>
        </w:tc>
        <w:tc>
          <w:tcPr>
            <w:tcW w:w="1197" w:type="dxa"/>
          </w:tcPr>
          <w:p>
            <w:pPr>
              <w:spacing w:after="0" w:line="240" w:lineRule="auto"/>
              <w:jc w:val="center"/>
              <w:rPr>
                <w:sz w:val="24"/>
                <w:szCs w:val="24"/>
              </w:rPr>
            </w:pPr>
            <w:r>
              <w:rPr>
                <w:sz w:val="24"/>
                <w:szCs w:val="24"/>
              </w:rPr>
              <w:t>67,202</w:t>
            </w:r>
          </w:p>
        </w:tc>
        <w:tc>
          <w:tcPr>
            <w:tcW w:w="1197" w:type="dxa"/>
          </w:tcPr>
          <w:p>
            <w:pPr>
              <w:spacing w:after="0" w:line="240" w:lineRule="auto"/>
              <w:jc w:val="center"/>
              <w:rPr>
                <w:sz w:val="24"/>
                <w:szCs w:val="24"/>
              </w:rPr>
            </w:pPr>
            <w:r>
              <w:rPr>
                <w:sz w:val="24"/>
                <w:szCs w:val="24"/>
              </w:rPr>
              <w:t>118,444</w:t>
            </w:r>
          </w:p>
        </w:tc>
        <w:tc>
          <w:tcPr>
            <w:tcW w:w="1197" w:type="dxa"/>
          </w:tcPr>
          <w:p>
            <w:pPr>
              <w:spacing w:after="0" w:line="240" w:lineRule="auto"/>
              <w:jc w:val="center"/>
              <w:rPr>
                <w:sz w:val="24"/>
                <w:szCs w:val="24"/>
              </w:rPr>
            </w:pPr>
            <w:r>
              <w:rPr>
                <w:sz w:val="24"/>
                <w:szCs w:val="24"/>
              </w:rPr>
              <w:t>53,500</w:t>
            </w:r>
          </w:p>
        </w:tc>
        <w:tc>
          <w:tcPr>
            <w:tcW w:w="1197" w:type="dxa"/>
          </w:tcPr>
          <w:p>
            <w:pPr>
              <w:spacing w:after="0" w:line="240" w:lineRule="auto"/>
              <w:jc w:val="center"/>
              <w:rPr>
                <w:sz w:val="24"/>
                <w:szCs w:val="24"/>
              </w:rPr>
            </w:pPr>
            <w:r>
              <w:rPr>
                <w:sz w:val="24"/>
                <w:szCs w:val="24"/>
              </w:rPr>
              <w:t>79,294</w:t>
            </w:r>
          </w:p>
        </w:tc>
        <w:tc>
          <w:tcPr>
            <w:tcW w:w="1197" w:type="dxa"/>
          </w:tcPr>
          <w:p>
            <w:pPr>
              <w:spacing w:after="0" w:line="240" w:lineRule="auto"/>
              <w:jc w:val="center"/>
              <w:rPr>
                <w:sz w:val="24"/>
                <w:szCs w:val="24"/>
              </w:rPr>
            </w:pPr>
            <w:r>
              <w:rPr>
                <w:sz w:val="24"/>
                <w:szCs w:val="24"/>
              </w:rPr>
              <w:t>64,544</w:t>
            </w:r>
          </w:p>
        </w:tc>
        <w:tc>
          <w:tcPr>
            <w:tcW w:w="1197" w:type="dxa"/>
          </w:tcPr>
          <w:p>
            <w:pPr>
              <w:spacing w:after="0" w:line="240" w:lineRule="auto"/>
              <w:jc w:val="center"/>
              <w:rPr>
                <w:sz w:val="24"/>
                <w:szCs w:val="24"/>
              </w:rPr>
            </w:pPr>
            <w:r>
              <w:rPr>
                <w:sz w:val="24"/>
                <w:szCs w:val="24"/>
              </w:rPr>
              <w:t>86,813</w:t>
            </w:r>
          </w:p>
        </w:tc>
        <w:tc>
          <w:tcPr>
            <w:tcW w:w="1197" w:type="dxa"/>
          </w:tcPr>
          <w:p>
            <w:pPr>
              <w:spacing w:after="0" w:line="240" w:lineRule="auto"/>
              <w:jc w:val="center"/>
              <w:rPr>
                <w:sz w:val="24"/>
                <w:szCs w:val="24"/>
              </w:rPr>
            </w:pPr>
            <w:r>
              <w:rPr>
                <w:sz w:val="24"/>
                <w:szCs w:val="24"/>
              </w:rPr>
              <w:t>116,269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7" w:type="dxa"/>
          </w:tcPr>
          <w:p>
            <w:pPr>
              <w:spacing w:after="0" w:line="240" w:lineRule="auto"/>
              <w:jc w:val="center"/>
              <w:rPr>
                <w:sz w:val="24"/>
                <w:szCs w:val="24"/>
              </w:rPr>
            </w:pPr>
            <w:r>
              <w:rPr>
                <w:sz w:val="24"/>
                <w:szCs w:val="24"/>
              </w:rPr>
              <w:t>37,831</w:t>
            </w:r>
          </w:p>
        </w:tc>
        <w:tc>
          <w:tcPr>
            <w:tcW w:w="1197" w:type="dxa"/>
          </w:tcPr>
          <w:p>
            <w:pPr>
              <w:spacing w:after="0" w:line="240" w:lineRule="auto"/>
              <w:jc w:val="center"/>
              <w:rPr>
                <w:sz w:val="24"/>
                <w:szCs w:val="24"/>
              </w:rPr>
            </w:pPr>
            <w:r>
              <w:rPr>
                <w:sz w:val="24"/>
                <w:szCs w:val="24"/>
              </w:rPr>
              <w:t>89,341</w:t>
            </w:r>
          </w:p>
        </w:tc>
        <w:tc>
          <w:tcPr>
            <w:tcW w:w="1197" w:type="dxa"/>
          </w:tcPr>
          <w:p>
            <w:pPr>
              <w:spacing w:after="0" w:line="240" w:lineRule="auto"/>
              <w:jc w:val="center"/>
              <w:rPr>
                <w:sz w:val="24"/>
                <w:szCs w:val="24"/>
              </w:rPr>
            </w:pPr>
            <w:r>
              <w:rPr>
                <w:sz w:val="24"/>
                <w:szCs w:val="24"/>
              </w:rPr>
              <w:t>73,341</w:t>
            </w:r>
          </w:p>
        </w:tc>
        <w:tc>
          <w:tcPr>
            <w:tcW w:w="1197" w:type="dxa"/>
          </w:tcPr>
          <w:p>
            <w:pPr>
              <w:spacing w:after="0" w:line="240" w:lineRule="auto"/>
              <w:jc w:val="center"/>
              <w:rPr>
                <w:sz w:val="24"/>
                <w:szCs w:val="24"/>
              </w:rPr>
            </w:pPr>
            <w:r>
              <w:rPr>
                <w:sz w:val="24"/>
                <w:szCs w:val="24"/>
              </w:rPr>
              <w:t>85,288</w:t>
            </w:r>
          </w:p>
        </w:tc>
        <w:tc>
          <w:tcPr>
            <w:tcW w:w="1197" w:type="dxa"/>
          </w:tcPr>
          <w:p>
            <w:pPr>
              <w:spacing w:after="0" w:line="240" w:lineRule="auto"/>
              <w:jc w:val="center"/>
              <w:rPr>
                <w:sz w:val="24"/>
                <w:szCs w:val="24"/>
              </w:rPr>
            </w:pPr>
            <w:r>
              <w:rPr>
                <w:sz w:val="24"/>
                <w:szCs w:val="24"/>
              </w:rPr>
              <w:t>138,114</w:t>
            </w:r>
          </w:p>
        </w:tc>
        <w:tc>
          <w:tcPr>
            <w:tcW w:w="1197" w:type="dxa"/>
          </w:tcPr>
          <w:p>
            <w:pPr>
              <w:spacing w:after="0" w:line="240" w:lineRule="auto"/>
              <w:jc w:val="center"/>
              <w:rPr>
                <w:sz w:val="24"/>
                <w:szCs w:val="24"/>
              </w:rPr>
            </w:pPr>
            <w:r>
              <w:rPr>
                <w:sz w:val="24"/>
                <w:szCs w:val="24"/>
              </w:rPr>
              <w:t>53,402</w:t>
            </w:r>
          </w:p>
        </w:tc>
        <w:tc>
          <w:tcPr>
            <w:tcW w:w="1197" w:type="dxa"/>
          </w:tcPr>
          <w:p>
            <w:pPr>
              <w:spacing w:after="0" w:line="240" w:lineRule="auto"/>
              <w:jc w:val="center"/>
              <w:rPr>
                <w:sz w:val="24"/>
                <w:szCs w:val="24"/>
              </w:rPr>
            </w:pPr>
            <w:r>
              <w:rPr>
                <w:sz w:val="24"/>
                <w:szCs w:val="24"/>
              </w:rPr>
              <w:t>85,586</w:t>
            </w:r>
          </w:p>
        </w:tc>
        <w:tc>
          <w:tcPr>
            <w:tcW w:w="1197" w:type="dxa"/>
          </w:tcPr>
          <w:p>
            <w:pPr>
              <w:spacing w:after="0" w:line="240" w:lineRule="auto"/>
              <w:jc w:val="center"/>
              <w:rPr>
                <w:sz w:val="24"/>
                <w:szCs w:val="24"/>
              </w:rPr>
            </w:pPr>
            <w:r>
              <w:rPr>
                <w:sz w:val="24"/>
                <w:szCs w:val="24"/>
              </w:rPr>
              <w:t>82,256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7" w:type="dxa"/>
          </w:tcPr>
          <w:p>
            <w:pPr>
              <w:spacing w:after="0" w:line="240" w:lineRule="auto"/>
              <w:jc w:val="center"/>
              <w:rPr>
                <w:sz w:val="24"/>
                <w:szCs w:val="24"/>
              </w:rPr>
            </w:pPr>
            <w:r>
              <w:rPr>
                <w:sz w:val="24"/>
                <w:szCs w:val="24"/>
              </w:rPr>
              <w:t>77,539</w:t>
            </w:r>
          </w:p>
        </w:tc>
        <w:tc>
          <w:tcPr>
            <w:tcW w:w="1197" w:type="dxa"/>
          </w:tcPr>
          <w:p>
            <w:pPr>
              <w:spacing w:after="0" w:line="240" w:lineRule="auto"/>
              <w:jc w:val="center"/>
              <w:rPr>
                <w:sz w:val="24"/>
                <w:szCs w:val="24"/>
              </w:rPr>
            </w:pPr>
            <w:r>
              <w:rPr>
                <w:sz w:val="24"/>
                <w:szCs w:val="24"/>
              </w:rPr>
              <w:t>88,798</w:t>
            </w:r>
          </w:p>
        </w:tc>
        <w:tc>
          <w:tcPr>
            <w:tcW w:w="1197" w:type="dxa"/>
          </w:tcPr>
          <w:p>
            <w:pPr>
              <w:spacing w:after="0" w:line="240" w:lineRule="auto"/>
              <w:jc w:val="center"/>
              <w:rPr>
                <w:sz w:val="24"/>
                <w:szCs w:val="24"/>
              </w:rPr>
            </w:pPr>
          </w:p>
        </w:tc>
        <w:tc>
          <w:tcPr>
            <w:tcW w:w="1197" w:type="dxa"/>
          </w:tcPr>
          <w:p>
            <w:pPr>
              <w:spacing w:after="0" w:line="240" w:lineRule="auto"/>
              <w:jc w:val="center"/>
              <w:rPr>
                <w:sz w:val="24"/>
                <w:szCs w:val="24"/>
              </w:rPr>
            </w:pPr>
          </w:p>
        </w:tc>
        <w:tc>
          <w:tcPr>
            <w:tcW w:w="1197" w:type="dxa"/>
          </w:tcPr>
          <w:p>
            <w:pPr>
              <w:spacing w:after="0" w:line="240" w:lineRule="auto"/>
              <w:jc w:val="center"/>
              <w:rPr>
                <w:sz w:val="24"/>
                <w:szCs w:val="24"/>
              </w:rPr>
            </w:pPr>
          </w:p>
        </w:tc>
        <w:tc>
          <w:tcPr>
            <w:tcW w:w="1197" w:type="dxa"/>
          </w:tcPr>
          <w:p>
            <w:pPr>
              <w:spacing w:after="0" w:line="240" w:lineRule="auto"/>
              <w:jc w:val="center"/>
              <w:rPr>
                <w:sz w:val="24"/>
                <w:szCs w:val="24"/>
              </w:rPr>
            </w:pPr>
          </w:p>
        </w:tc>
        <w:tc>
          <w:tcPr>
            <w:tcW w:w="1197" w:type="dxa"/>
          </w:tcPr>
          <w:p>
            <w:pPr>
              <w:spacing w:after="0" w:line="240" w:lineRule="auto"/>
              <w:jc w:val="center"/>
              <w:rPr>
                <w:sz w:val="24"/>
                <w:szCs w:val="24"/>
              </w:rPr>
            </w:pPr>
          </w:p>
        </w:tc>
        <w:tc>
          <w:tcPr>
            <w:tcW w:w="1197" w:type="dxa"/>
          </w:tcPr>
          <w:p>
            <w:pPr>
              <w:spacing w:after="0" w:line="240" w:lineRule="auto"/>
              <w:jc w:val="center"/>
              <w:rPr>
                <w:sz w:val="24"/>
                <w:szCs w:val="24"/>
              </w:rPr>
            </w:pPr>
          </w:p>
        </w:tc>
      </w:tr>
    </w:tbl>
    <w:p>
      <w:pPr>
        <w:spacing w:after="0"/>
        <w:rPr>
          <w:sz w:val="24"/>
          <w:szCs w:val="24"/>
        </w:rPr>
      </w:pPr>
    </w:p>
    <w:p>
      <w:pPr>
        <w:spacing w:after="0"/>
        <w:rPr>
          <w:b/>
          <w:sz w:val="24"/>
          <w:szCs w:val="24"/>
        </w:rPr>
      </w:pPr>
      <w:r>
        <w:rPr>
          <w:b/>
          <w:sz w:val="24"/>
          <w:szCs w:val="24"/>
        </w:rPr>
        <w:t>Managerial Report</w:t>
      </w:r>
    </w:p>
    <w:p>
      <w:pPr>
        <w:pStyle w:val="6"/>
        <w:numPr>
          <w:ilvl w:val="0"/>
          <w:numId w:val="2"/>
        </w:numPr>
        <w:spacing w:after="0"/>
        <w:rPr>
          <w:sz w:val="24"/>
          <w:szCs w:val="24"/>
        </w:rPr>
      </w:pPr>
      <w:r>
        <w:rPr>
          <w:sz w:val="24"/>
          <w:szCs w:val="24"/>
        </w:rPr>
        <w:t>Use appropriate descriptive statistics to summarize the transmission failure data.</w:t>
      </w:r>
    </w:p>
    <w:p>
      <w:pPr>
        <w:pStyle w:val="6"/>
        <w:numPr>
          <w:ilvl w:val="0"/>
          <w:numId w:val="2"/>
        </w:numPr>
        <w:spacing w:after="0"/>
        <w:rPr>
          <w:sz w:val="24"/>
          <w:szCs w:val="24"/>
        </w:rPr>
      </w:pPr>
      <w:r>
        <w:rPr>
          <w:sz w:val="24"/>
          <w:szCs w:val="24"/>
        </w:rPr>
        <w:t>Develop a 95% confidence interval for the mean number of miles driven until transmission failure for the population of automobiles with transmission failure. Provide a managerial interpretation of the interval estimate.</w:t>
      </w:r>
    </w:p>
    <w:p>
      <w:pPr>
        <w:pStyle w:val="6"/>
        <w:numPr>
          <w:ilvl w:val="0"/>
          <w:numId w:val="2"/>
        </w:numPr>
        <w:spacing w:after="0"/>
        <w:rPr>
          <w:sz w:val="24"/>
          <w:szCs w:val="24"/>
        </w:rPr>
      </w:pPr>
      <w:r>
        <w:rPr>
          <w:sz w:val="24"/>
          <w:szCs w:val="24"/>
        </w:rPr>
        <w:t>Discuss the implication of your statistical findings in terms of the belief that some owners of the automobiles experienced early transmission failures.</w:t>
      </w:r>
    </w:p>
    <w:p>
      <w:pPr>
        <w:pStyle w:val="6"/>
        <w:numPr>
          <w:ilvl w:val="0"/>
          <w:numId w:val="2"/>
        </w:numPr>
        <w:spacing w:after="0"/>
        <w:rPr>
          <w:sz w:val="24"/>
          <w:szCs w:val="24"/>
        </w:rPr>
      </w:pPr>
      <w:r>
        <w:rPr>
          <w:sz w:val="24"/>
          <w:szCs w:val="24"/>
        </w:rPr>
        <w:t>How many repair records should be sampled if the research firm wants the population mean number of miles driven until transmission failure to be estimated with a margin of error of 5000 miles? Use 95% confidence.</w:t>
      </w:r>
    </w:p>
    <w:p>
      <w:pPr>
        <w:pStyle w:val="6"/>
        <w:numPr>
          <w:ilvl w:val="0"/>
          <w:numId w:val="2"/>
        </w:numPr>
        <w:spacing w:after="0"/>
        <w:rPr>
          <w:sz w:val="24"/>
          <w:szCs w:val="24"/>
        </w:rPr>
      </w:pPr>
      <w:r>
        <w:rPr>
          <w:sz w:val="24"/>
          <w:szCs w:val="24"/>
        </w:rPr>
        <w:t>What other information would you like to gather to evaluate the transmission failure problem more fully?</w:t>
      </w:r>
    </w:p>
    <w:p>
      <w:pPr>
        <w:pStyle w:val="6"/>
        <w:numPr>
          <w:numId w:val="0"/>
        </w:numPr>
        <w:spacing w:after="0" w:line="276" w:lineRule="auto"/>
        <w:contextualSpacing/>
        <w:rPr>
          <w:sz w:val="24"/>
          <w:szCs w:val="24"/>
        </w:rPr>
      </w:pPr>
    </w:p>
    <w:p>
      <w:pPr>
        <w:pStyle w:val="6"/>
        <w:numPr>
          <w:numId w:val="0"/>
        </w:numPr>
        <w:spacing w:after="0" w:line="276" w:lineRule="auto"/>
        <w:contextualSpacing/>
        <w:rPr>
          <w:sz w:val="24"/>
          <w:szCs w:val="24"/>
        </w:rPr>
      </w:pPr>
      <w:bookmarkStart w:id="0" w:name="_GoBack"/>
      <w:bookmarkEnd w:id="0"/>
    </w:p>
    <w:p>
      <w:pPr>
        <w:pStyle w:val="6"/>
        <w:numPr>
          <w:numId w:val="0"/>
        </w:numPr>
        <w:spacing w:after="0" w:line="276" w:lineRule="auto"/>
        <w:contextualSpacing/>
        <w:rPr>
          <w:sz w:val="24"/>
          <w:szCs w:val="24"/>
        </w:rPr>
      </w:pPr>
      <w:r>
        <w:rPr>
          <w:rFonts w:hint="default"/>
          <w:sz w:val="24"/>
          <w:szCs w:val="24"/>
        </w:rPr>
        <w:t>管理报告</w:t>
      </w:r>
    </w:p>
    <w:p>
      <w:pPr>
        <w:pStyle w:val="6"/>
        <w:numPr>
          <w:numId w:val="0"/>
        </w:numPr>
        <w:spacing w:after="0" w:line="276" w:lineRule="auto"/>
        <w:contextualSpacing/>
        <w:rPr>
          <w:rFonts w:hint="default"/>
          <w:sz w:val="24"/>
          <w:szCs w:val="24"/>
        </w:rPr>
      </w:pPr>
      <w:r>
        <w:rPr>
          <w:rFonts w:hint="default"/>
          <w:sz w:val="24"/>
          <w:szCs w:val="24"/>
        </w:rPr>
        <w:t>1.使用适当的描述性统计来总结传输故障数据。</w:t>
      </w:r>
    </w:p>
    <w:p>
      <w:pPr>
        <w:pStyle w:val="6"/>
        <w:numPr>
          <w:numId w:val="0"/>
        </w:numPr>
        <w:spacing w:after="0" w:line="276" w:lineRule="auto"/>
        <w:contextualSpacing/>
        <w:rPr>
          <w:rFonts w:hint="default"/>
          <w:sz w:val="24"/>
          <w:szCs w:val="24"/>
        </w:rPr>
      </w:pPr>
      <w:r>
        <w:rPr>
          <w:rFonts w:hint="default"/>
          <w:sz w:val="24"/>
          <w:szCs w:val="24"/>
        </w:rPr>
        <w:t>2.对于有传动故障的汽车的数量，建立一个95%的置信区间来表示在传动故障之前行驶的平均英里数。提供区间估计的管理解释。</w:t>
      </w:r>
    </w:p>
    <w:p>
      <w:pPr>
        <w:pStyle w:val="6"/>
        <w:numPr>
          <w:numId w:val="0"/>
        </w:numPr>
        <w:spacing w:after="0" w:line="276" w:lineRule="auto"/>
        <w:contextualSpacing/>
        <w:rPr>
          <w:rFonts w:hint="default"/>
          <w:sz w:val="24"/>
          <w:szCs w:val="24"/>
        </w:rPr>
      </w:pPr>
      <w:r>
        <w:rPr>
          <w:rFonts w:hint="default"/>
          <w:sz w:val="24"/>
          <w:szCs w:val="24"/>
        </w:rPr>
        <w:t>3.讨论你的统计结果的含义，相信一些车主经历了早期的变速箱故障。</w:t>
      </w:r>
    </w:p>
    <w:p>
      <w:pPr>
        <w:pStyle w:val="6"/>
        <w:numPr>
          <w:numId w:val="0"/>
        </w:numPr>
        <w:spacing w:after="0" w:line="276" w:lineRule="auto"/>
        <w:contextualSpacing/>
        <w:rPr>
          <w:rFonts w:hint="default"/>
          <w:sz w:val="24"/>
          <w:szCs w:val="24"/>
        </w:rPr>
      </w:pPr>
      <w:r>
        <w:rPr>
          <w:rFonts w:hint="default"/>
          <w:sz w:val="24"/>
          <w:szCs w:val="24"/>
        </w:rPr>
        <w:t>4.如果研究公司想要以5000英里的误差幅度来估计在传输故障之前的人口平均行驶里程，那么应该采样多少次修理记录?使用95%的信心。</w:t>
      </w:r>
    </w:p>
    <w:p>
      <w:pPr>
        <w:pStyle w:val="6"/>
        <w:numPr>
          <w:numId w:val="0"/>
        </w:numPr>
        <w:spacing w:after="0" w:line="276" w:lineRule="auto"/>
        <w:contextualSpacing/>
        <w:rPr>
          <w:rFonts w:hint="default"/>
          <w:sz w:val="24"/>
          <w:szCs w:val="24"/>
        </w:rPr>
      </w:pPr>
      <w:r>
        <w:rPr>
          <w:rFonts w:hint="default"/>
          <w:sz w:val="24"/>
          <w:szCs w:val="24"/>
        </w:rPr>
        <w:t>5.您还希望收集哪些信息来更全面地评估传输故障问题?</w:t>
      </w:r>
    </w:p>
    <w:p>
      <w:pPr>
        <w:pStyle w:val="6"/>
        <w:numPr>
          <w:numId w:val="0"/>
        </w:numPr>
        <w:spacing w:after="0" w:line="276" w:lineRule="auto"/>
        <w:contextualSpacing/>
        <w:rPr>
          <w:sz w:val="24"/>
          <w:szCs w:val="24"/>
        </w:rPr>
      </w:pPr>
    </w:p>
    <w:p>
      <w:pPr>
        <w:spacing w:after="0"/>
        <w:rPr>
          <w:sz w:val="24"/>
          <w:szCs w:val="24"/>
        </w:rPr>
      </w:pPr>
    </w:p>
    <w:p>
      <w:pPr>
        <w:jc w:val="center"/>
        <w:rPr>
          <w:b/>
          <w:sz w:val="28"/>
          <w:szCs w:val="28"/>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82A2B"/>
    <w:multiLevelType w:val="multilevel"/>
    <w:tmpl w:val="0FC82A2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3E77FBA"/>
    <w:multiLevelType w:val="multilevel"/>
    <w:tmpl w:val="23E77FB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953"/>
    <w:rsid w:val="00061CE5"/>
    <w:rsid w:val="001B0953"/>
    <w:rsid w:val="001B384B"/>
    <w:rsid w:val="004364F2"/>
    <w:rsid w:val="00531B3A"/>
    <w:rsid w:val="005619A5"/>
    <w:rsid w:val="005F7D0D"/>
    <w:rsid w:val="007333ED"/>
    <w:rsid w:val="009E4647"/>
    <w:rsid w:val="00AA3138"/>
    <w:rsid w:val="00B03536"/>
    <w:rsid w:val="00C459ED"/>
    <w:rsid w:val="00C468FB"/>
    <w:rsid w:val="00DE1CB3"/>
    <w:rsid w:val="00DE49A2"/>
    <w:rsid w:val="00F64CD9"/>
    <w:rsid w:val="00FE187C"/>
    <w:rsid w:val="00FE2E0B"/>
    <w:rsid w:val="4DD73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cs="Arial" w:eastAsiaTheme="minorHAnsi"/>
      <w:sz w:val="22"/>
      <w:szCs w:val="22"/>
      <w:lang w:val="en-US" w:eastAsia="en-US" w:bidi="ar-SA"/>
    </w:rPr>
  </w:style>
  <w:style w:type="character" w:default="1" w:styleId="5">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rPr>
      <w:sz w:val="24"/>
    </w:rPr>
  </w:style>
  <w:style w:type="table" w:styleId="4">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761</Words>
  <Characters>4339</Characters>
  <Lines>36</Lines>
  <Paragraphs>10</Paragraphs>
  <TotalTime>2</TotalTime>
  <ScaleCrop>false</ScaleCrop>
  <LinksUpToDate>false</LinksUpToDate>
  <CharactersWithSpaces>5090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2020-01-15T07:25:00Z</dcterms:created>
  <dc:creator>Find</dc:creator>
  <cp:lastModifiedBy>vinston(阿文）</cp:lastModifiedBy>
  <dcterms:modified xsi:type="dcterms:W3CDTF">2020-09-18T14:28:46Z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