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ECCE8"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41F7E368"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5DDBE1D3"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57733BB6"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7AC689B5"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2D9DE7BB"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1DCFB7E5"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44CE8031"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4118B3E3"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6BB9EE5E"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56FA835C"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638E39F6"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62526E87"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0F671AEC"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0180761A"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383F76EC" w14:textId="77777777" w:rsidR="00FF1935" w:rsidRPr="00D443CB" w:rsidRDefault="00FF1935" w:rsidP="003F0903">
      <w:pPr>
        <w:widowControl w:val="0"/>
        <w:autoSpaceDE w:val="0"/>
        <w:autoSpaceDN w:val="0"/>
        <w:adjustRightInd w:val="0"/>
        <w:spacing w:after="5" w:line="240" w:lineRule="auto"/>
        <w:rPr>
          <w:rFonts w:ascii="Gill Sans MT" w:hAnsi="Gill Sans MT" w:cs="Calibri"/>
          <w:sz w:val="4"/>
          <w:szCs w:val="4"/>
        </w:rPr>
      </w:pPr>
    </w:p>
    <w:p w14:paraId="75C20D68" w14:textId="77777777" w:rsidR="00FF1935" w:rsidRPr="00D443CB" w:rsidRDefault="00FF1935" w:rsidP="003F0903">
      <w:pPr>
        <w:widowControl w:val="0"/>
        <w:autoSpaceDE w:val="0"/>
        <w:autoSpaceDN w:val="0"/>
        <w:adjustRightInd w:val="0"/>
        <w:spacing w:after="0" w:line="240" w:lineRule="auto"/>
        <w:ind w:right="1117"/>
        <w:rPr>
          <w:rFonts w:ascii="Gill Sans MT" w:hAnsi="Gill Sans MT" w:cs="Calibri Light"/>
          <w:sz w:val="72"/>
          <w:szCs w:val="72"/>
        </w:rPr>
      </w:pPr>
      <w:bookmarkStart w:id="0" w:name="_Hlk38672196"/>
      <w:r w:rsidRPr="00D443CB">
        <w:rPr>
          <w:rFonts w:ascii="Gill Sans MT" w:hAnsi="Gill Sans MT" w:cs="Calibri Light"/>
          <w:sz w:val="72"/>
          <w:szCs w:val="72"/>
        </w:rPr>
        <w:t xml:space="preserve">National </w:t>
      </w:r>
      <w:r w:rsidR="003B2D1C" w:rsidRPr="00D443CB">
        <w:rPr>
          <w:rFonts w:ascii="Gill Sans MT" w:hAnsi="Gill Sans MT" w:cs="Calibri Light"/>
          <w:sz w:val="72"/>
          <w:szCs w:val="72"/>
        </w:rPr>
        <w:t>TB Diagnostic</w:t>
      </w:r>
      <w:r w:rsidRPr="00D443CB">
        <w:rPr>
          <w:rFonts w:ascii="Gill Sans MT" w:hAnsi="Gill Sans MT" w:cs="Calibri Light"/>
          <w:sz w:val="72"/>
          <w:szCs w:val="72"/>
        </w:rPr>
        <w:t xml:space="preserve"> Network Assessment</w:t>
      </w:r>
    </w:p>
    <w:p w14:paraId="308933A3" w14:textId="77777777" w:rsidR="003B2D1C" w:rsidRPr="00D443CB" w:rsidRDefault="003B2D1C" w:rsidP="003F0903">
      <w:pPr>
        <w:widowControl w:val="0"/>
        <w:autoSpaceDE w:val="0"/>
        <w:autoSpaceDN w:val="0"/>
        <w:adjustRightInd w:val="0"/>
        <w:spacing w:after="0" w:line="240" w:lineRule="auto"/>
        <w:ind w:right="1117"/>
        <w:rPr>
          <w:rFonts w:ascii="Gill Sans MT" w:hAnsi="Gill Sans MT"/>
          <w:sz w:val="24"/>
          <w:szCs w:val="24"/>
        </w:rPr>
      </w:pPr>
      <w:bookmarkStart w:id="1" w:name="_GoBack"/>
      <w:bookmarkEnd w:id="1"/>
    </w:p>
    <w:p w14:paraId="1A8EBA93" w14:textId="0230799C" w:rsidR="00FF1935" w:rsidRPr="00D443CB" w:rsidRDefault="00FF1935" w:rsidP="003F0903">
      <w:pPr>
        <w:widowControl w:val="0"/>
        <w:autoSpaceDE w:val="0"/>
        <w:autoSpaceDN w:val="0"/>
        <w:adjustRightInd w:val="0"/>
        <w:spacing w:after="0" w:line="240" w:lineRule="auto"/>
        <w:ind w:right="-20"/>
        <w:jc w:val="both"/>
        <w:rPr>
          <w:rFonts w:ascii="Gill Sans MT" w:hAnsi="Gill Sans MT"/>
          <w:sz w:val="44"/>
          <w:szCs w:val="44"/>
        </w:rPr>
      </w:pPr>
      <w:r w:rsidRPr="00D443CB">
        <w:rPr>
          <w:rFonts w:ascii="Gill Sans MT" w:hAnsi="Gill Sans MT" w:cs="Calibri Light"/>
          <w:sz w:val="44"/>
          <w:szCs w:val="44"/>
        </w:rPr>
        <w:t>Manual</w:t>
      </w:r>
      <w:r w:rsidR="003B2D1C" w:rsidRPr="00D443CB">
        <w:rPr>
          <w:rFonts w:ascii="Gill Sans MT" w:hAnsi="Gill Sans MT" w:cs="Calibri Light"/>
          <w:sz w:val="44"/>
          <w:szCs w:val="44"/>
        </w:rPr>
        <w:t xml:space="preserve"> for Assessors</w:t>
      </w:r>
      <w:r w:rsidR="00646FFB" w:rsidRPr="00D443CB">
        <w:rPr>
          <w:rFonts w:ascii="Gill Sans MT" w:hAnsi="Gill Sans MT" w:cs="Calibri Light"/>
          <w:sz w:val="44"/>
          <w:szCs w:val="44"/>
        </w:rPr>
        <w:t xml:space="preserve"> Revised</w:t>
      </w:r>
    </w:p>
    <w:p w14:paraId="2103204C" w14:textId="77777777" w:rsidR="00FF1935" w:rsidRPr="00D443CB" w:rsidRDefault="00FF1935" w:rsidP="003F0903">
      <w:pPr>
        <w:widowControl w:val="0"/>
        <w:autoSpaceDE w:val="0"/>
        <w:autoSpaceDN w:val="0"/>
        <w:adjustRightInd w:val="0"/>
        <w:spacing w:after="0" w:line="240" w:lineRule="auto"/>
        <w:rPr>
          <w:rFonts w:ascii="Gill Sans MT" w:hAnsi="Gill Sans MT" w:cs="Calibri Light"/>
          <w:sz w:val="24"/>
          <w:szCs w:val="24"/>
        </w:rPr>
      </w:pPr>
    </w:p>
    <w:p w14:paraId="0FFABD3C" w14:textId="77777777" w:rsidR="00FF1935" w:rsidRPr="00D443CB" w:rsidRDefault="00FF1935" w:rsidP="003F0903">
      <w:pPr>
        <w:widowControl w:val="0"/>
        <w:autoSpaceDE w:val="0"/>
        <w:autoSpaceDN w:val="0"/>
        <w:adjustRightInd w:val="0"/>
        <w:spacing w:after="0" w:line="240" w:lineRule="auto"/>
        <w:rPr>
          <w:rFonts w:ascii="Gill Sans MT" w:hAnsi="Gill Sans MT" w:cs="Calibri Light"/>
          <w:sz w:val="24"/>
          <w:szCs w:val="24"/>
        </w:rPr>
      </w:pPr>
    </w:p>
    <w:p w14:paraId="213A4E10" w14:textId="77777777" w:rsidR="00FF1935" w:rsidRPr="00D443CB" w:rsidRDefault="00FF1935" w:rsidP="003F0903">
      <w:pPr>
        <w:widowControl w:val="0"/>
        <w:autoSpaceDE w:val="0"/>
        <w:autoSpaceDN w:val="0"/>
        <w:adjustRightInd w:val="0"/>
        <w:spacing w:after="0" w:line="240" w:lineRule="auto"/>
        <w:rPr>
          <w:rFonts w:ascii="Gill Sans MT" w:hAnsi="Gill Sans MT" w:cs="Calibri Light"/>
          <w:sz w:val="24"/>
          <w:szCs w:val="24"/>
        </w:rPr>
      </w:pPr>
    </w:p>
    <w:p w14:paraId="54D1762E" w14:textId="77777777" w:rsidR="00FF1935" w:rsidRPr="00D443CB" w:rsidRDefault="00FF1935" w:rsidP="003F0903">
      <w:pPr>
        <w:widowControl w:val="0"/>
        <w:autoSpaceDE w:val="0"/>
        <w:autoSpaceDN w:val="0"/>
        <w:adjustRightInd w:val="0"/>
        <w:spacing w:after="0" w:line="240" w:lineRule="auto"/>
        <w:rPr>
          <w:rFonts w:ascii="Gill Sans MT" w:hAnsi="Gill Sans MT" w:cs="Calibri Light"/>
          <w:sz w:val="24"/>
          <w:szCs w:val="24"/>
        </w:rPr>
      </w:pPr>
    </w:p>
    <w:p w14:paraId="02AFAFA9" w14:textId="77777777" w:rsidR="00FF1935" w:rsidRPr="00D443CB" w:rsidRDefault="00FF1935" w:rsidP="003F0903">
      <w:pPr>
        <w:widowControl w:val="0"/>
        <w:autoSpaceDE w:val="0"/>
        <w:autoSpaceDN w:val="0"/>
        <w:adjustRightInd w:val="0"/>
        <w:spacing w:after="10" w:line="240" w:lineRule="auto"/>
        <w:rPr>
          <w:rFonts w:ascii="Gill Sans MT" w:hAnsi="Gill Sans MT" w:cs="Calibri Light"/>
          <w:sz w:val="14"/>
          <w:szCs w:val="14"/>
        </w:rPr>
      </w:pPr>
    </w:p>
    <w:p w14:paraId="28F29DEB" w14:textId="347B3E9F" w:rsidR="00FF1935" w:rsidRPr="00D443CB" w:rsidRDefault="00855F2B" w:rsidP="00AD54A8">
      <w:pPr>
        <w:widowControl w:val="0"/>
        <w:autoSpaceDE w:val="0"/>
        <w:autoSpaceDN w:val="0"/>
        <w:adjustRightInd w:val="0"/>
        <w:spacing w:after="0" w:line="240" w:lineRule="auto"/>
        <w:rPr>
          <w:rFonts w:ascii="Gill Sans MT" w:hAnsi="Gill Sans MT" w:cs="Calibri"/>
          <w:sz w:val="40"/>
          <w:szCs w:val="40"/>
        </w:rPr>
      </w:pPr>
      <w:r w:rsidRPr="00D443CB">
        <w:rPr>
          <w:rFonts w:ascii="Gill Sans MT" w:hAnsi="Gill Sans MT" w:cs="Calibri"/>
          <w:sz w:val="40"/>
          <w:szCs w:val="40"/>
        </w:rPr>
        <w:t>April</w:t>
      </w:r>
      <w:r w:rsidR="00DE52AC" w:rsidRPr="00D443CB">
        <w:rPr>
          <w:rFonts w:ascii="Gill Sans MT" w:hAnsi="Gill Sans MT" w:cs="Calibri"/>
          <w:sz w:val="40"/>
          <w:szCs w:val="40"/>
        </w:rPr>
        <w:t xml:space="preserve"> 2020</w:t>
      </w:r>
    </w:p>
    <w:p w14:paraId="7EA10AB3"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bookmarkEnd w:id="0"/>
    <w:p w14:paraId="03246D11"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2778D85B" w14:textId="77777777" w:rsidR="00FF1935" w:rsidRPr="00D443CB" w:rsidRDefault="00FF1935" w:rsidP="003F0903">
      <w:pPr>
        <w:widowControl w:val="0"/>
        <w:autoSpaceDE w:val="0"/>
        <w:autoSpaceDN w:val="0"/>
        <w:adjustRightInd w:val="0"/>
        <w:spacing w:after="2" w:line="240" w:lineRule="auto"/>
        <w:rPr>
          <w:rFonts w:ascii="Gill Sans MT" w:hAnsi="Gill Sans MT" w:cs="Calibri"/>
          <w:sz w:val="20"/>
          <w:szCs w:val="20"/>
        </w:rPr>
      </w:pPr>
    </w:p>
    <w:p w14:paraId="6210D0DC"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3A296270"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60B22659"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2D75FEFF"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22C44E3C"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5FFA2637"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1A9904B1"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7B55C5AD" w14:textId="77777777" w:rsidR="00FF1935" w:rsidRPr="00D443CB" w:rsidRDefault="00FF1935" w:rsidP="003F0903">
      <w:pPr>
        <w:widowControl w:val="0"/>
        <w:autoSpaceDE w:val="0"/>
        <w:autoSpaceDN w:val="0"/>
        <w:adjustRightInd w:val="0"/>
        <w:spacing w:after="0" w:line="240" w:lineRule="auto"/>
        <w:rPr>
          <w:rFonts w:ascii="Gill Sans MT" w:hAnsi="Gill Sans MT" w:cs="Calibri"/>
          <w:sz w:val="24"/>
          <w:szCs w:val="24"/>
        </w:rPr>
      </w:pPr>
    </w:p>
    <w:p w14:paraId="248D73B6" w14:textId="77A43ADB" w:rsidR="00995275" w:rsidRPr="00D443CB" w:rsidRDefault="00995275">
      <w:pPr>
        <w:spacing w:after="0" w:line="240" w:lineRule="auto"/>
        <w:rPr>
          <w:rFonts w:ascii="Gill Sans MT" w:hAnsi="Gill Sans MT" w:cs="Calibri"/>
          <w:sz w:val="24"/>
          <w:szCs w:val="24"/>
        </w:rPr>
      </w:pPr>
      <w:r w:rsidRPr="00D443CB">
        <w:rPr>
          <w:rFonts w:ascii="Gill Sans MT" w:hAnsi="Gill Sans MT" w:cs="Calibri"/>
          <w:sz w:val="24"/>
          <w:szCs w:val="24"/>
        </w:rPr>
        <w:br w:type="page"/>
      </w:r>
    </w:p>
    <w:bookmarkStart w:id="2" w:name="_Hlk38672255" w:displacedByCustomXml="next"/>
    <w:sdt>
      <w:sdtPr>
        <w:rPr>
          <w:rFonts w:ascii="Gill Sans MT" w:eastAsia="Times New Roman" w:hAnsi="Gill Sans MT" w:cs="Times New Roman"/>
          <w:color w:val="auto"/>
          <w:sz w:val="22"/>
          <w:szCs w:val="22"/>
        </w:rPr>
        <w:id w:val="-766692788"/>
        <w:docPartObj>
          <w:docPartGallery w:val="Table of Contents"/>
          <w:docPartUnique/>
        </w:docPartObj>
      </w:sdtPr>
      <w:sdtEndPr>
        <w:rPr>
          <w:b/>
          <w:bCs/>
          <w:noProof/>
        </w:rPr>
      </w:sdtEndPr>
      <w:sdtContent>
        <w:p w14:paraId="67F6D09B" w14:textId="4591DAED" w:rsidR="008A7CD7" w:rsidRPr="00D443CB" w:rsidRDefault="008A7CD7" w:rsidP="000F091F">
          <w:pPr>
            <w:pStyle w:val="TOCHeading"/>
            <w:spacing w:before="0" w:line="240" w:lineRule="auto"/>
            <w:rPr>
              <w:rFonts w:ascii="Gill Sans MT" w:hAnsi="Gill Sans MT"/>
            </w:rPr>
          </w:pPr>
          <w:r w:rsidRPr="00D443CB">
            <w:rPr>
              <w:rFonts w:ascii="Gill Sans MT" w:hAnsi="Gill Sans MT"/>
            </w:rPr>
            <w:t>Table of Contents</w:t>
          </w:r>
        </w:p>
        <w:bookmarkEnd w:id="2"/>
        <w:p w14:paraId="52EA03FC" w14:textId="6754A34F" w:rsidR="009610E7" w:rsidRPr="00D443CB" w:rsidRDefault="008A7CD7" w:rsidP="009610E7">
          <w:pPr>
            <w:pStyle w:val="TOC1"/>
            <w:tabs>
              <w:tab w:val="right" w:leader="dot" w:pos="10070"/>
            </w:tabs>
            <w:spacing w:after="0" w:line="240" w:lineRule="auto"/>
            <w:rPr>
              <w:rFonts w:ascii="Gill Sans MT" w:eastAsiaTheme="minorEastAsia" w:hAnsi="Gill Sans MT" w:cstheme="minorBidi"/>
              <w:noProof/>
            </w:rPr>
          </w:pPr>
          <w:r w:rsidRPr="00D443CB">
            <w:rPr>
              <w:rFonts w:ascii="Gill Sans MT" w:hAnsi="Gill Sans MT"/>
            </w:rPr>
            <w:fldChar w:fldCharType="begin"/>
          </w:r>
          <w:r w:rsidRPr="00D443CB">
            <w:rPr>
              <w:rFonts w:ascii="Gill Sans MT" w:hAnsi="Gill Sans MT"/>
            </w:rPr>
            <w:instrText xml:space="preserve"> TOC \o "1-3" \h \z \u </w:instrText>
          </w:r>
          <w:r w:rsidRPr="00D443CB">
            <w:rPr>
              <w:rFonts w:ascii="Gill Sans MT" w:hAnsi="Gill Sans MT"/>
            </w:rPr>
            <w:fldChar w:fldCharType="separate"/>
          </w:r>
          <w:hyperlink w:anchor="_Toc37317812" w:history="1">
            <w:r w:rsidR="009610E7" w:rsidRPr="00D443CB">
              <w:rPr>
                <w:rStyle w:val="Hyperlink"/>
                <w:rFonts w:ascii="Gill Sans MT" w:hAnsi="Gill Sans MT" w:cstheme="minorHAnsi"/>
                <w:bCs/>
                <w:noProof/>
                <w:lang w:val="en-GB"/>
              </w:rPr>
              <w:t>Acknowledgements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_Toc37317812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4</w:t>
            </w:r>
            <w:r w:rsidR="009610E7" w:rsidRPr="00D443CB">
              <w:rPr>
                <w:rFonts w:ascii="Gill Sans MT" w:hAnsi="Gill Sans MT"/>
                <w:noProof/>
                <w:webHidden/>
              </w:rPr>
              <w:fldChar w:fldCharType="end"/>
            </w:r>
          </w:hyperlink>
        </w:p>
        <w:p w14:paraId="76A7C5B1" w14:textId="382CA900" w:rsidR="009610E7" w:rsidRPr="00D443CB" w:rsidRDefault="00CE2E64" w:rsidP="009610E7">
          <w:pPr>
            <w:pStyle w:val="TOC2"/>
            <w:rPr>
              <w:rFonts w:ascii="Gill Sans MT" w:eastAsiaTheme="minorEastAsia" w:hAnsi="Gill Sans MT" w:cstheme="minorBidi"/>
              <w:noProof/>
            </w:rPr>
          </w:pPr>
          <w:hyperlink w:anchor="_Toc37317813" w:history="1">
            <w:r w:rsidR="009610E7" w:rsidRPr="00D443CB">
              <w:rPr>
                <w:rStyle w:val="Hyperlink"/>
                <w:rFonts w:ascii="Gill Sans MT" w:hAnsi="Gill Sans MT" w:cstheme="minorHAnsi"/>
                <w:bCs/>
                <w:noProof/>
              </w:rPr>
              <w:t>About this manual</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_Toc37317813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4</w:t>
            </w:r>
            <w:r w:rsidR="009610E7" w:rsidRPr="00D443CB">
              <w:rPr>
                <w:rFonts w:ascii="Gill Sans MT" w:hAnsi="Gill Sans MT"/>
                <w:noProof/>
                <w:webHidden/>
              </w:rPr>
              <w:fldChar w:fldCharType="end"/>
            </w:r>
          </w:hyperlink>
        </w:p>
        <w:p w14:paraId="1D580DC4" w14:textId="09202056" w:rsidR="009610E7" w:rsidRPr="00D443CB" w:rsidRDefault="00CE2E64" w:rsidP="009610E7">
          <w:pPr>
            <w:pStyle w:val="TOC2"/>
            <w:rPr>
              <w:rFonts w:ascii="Gill Sans MT" w:eastAsiaTheme="minorEastAsia" w:hAnsi="Gill Sans MT" w:cstheme="minorBidi"/>
              <w:noProof/>
            </w:rPr>
          </w:pPr>
          <w:hyperlink w:anchor="_Toc37317814" w:history="1">
            <w:r w:rsidR="009610E7" w:rsidRPr="00D443CB">
              <w:rPr>
                <w:rStyle w:val="Hyperlink"/>
                <w:rFonts w:ascii="Gill Sans MT" w:hAnsi="Gill Sans MT" w:cstheme="minorHAnsi"/>
                <w:bCs/>
                <w:noProof/>
              </w:rPr>
              <w:t>Target audience</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_Toc37317814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4</w:t>
            </w:r>
            <w:r w:rsidR="009610E7" w:rsidRPr="00D443CB">
              <w:rPr>
                <w:rFonts w:ascii="Gill Sans MT" w:hAnsi="Gill Sans MT"/>
                <w:noProof/>
                <w:webHidden/>
              </w:rPr>
              <w:fldChar w:fldCharType="end"/>
            </w:r>
          </w:hyperlink>
        </w:p>
        <w:p w14:paraId="5614D26C" w14:textId="3E593A93" w:rsidR="009610E7" w:rsidRPr="00D443CB" w:rsidRDefault="00CE2E64" w:rsidP="009610E7">
          <w:pPr>
            <w:pStyle w:val="TOC1"/>
            <w:tabs>
              <w:tab w:val="right" w:leader="dot" w:pos="10070"/>
            </w:tabs>
            <w:spacing w:after="0" w:line="240" w:lineRule="auto"/>
            <w:rPr>
              <w:rFonts w:ascii="Gill Sans MT" w:eastAsiaTheme="minorEastAsia" w:hAnsi="Gill Sans MT" w:cstheme="minorBidi"/>
              <w:noProof/>
            </w:rPr>
          </w:pPr>
          <w:hyperlink w:anchor="_Toc37317815" w:history="1">
            <w:r w:rsidR="009610E7" w:rsidRPr="00D443CB">
              <w:rPr>
                <w:rStyle w:val="Hyperlink"/>
                <w:rFonts w:ascii="Gill Sans MT" w:hAnsi="Gill Sans MT" w:cstheme="minorHAnsi"/>
                <w:noProof/>
              </w:rPr>
              <w:t>List of acronyms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_Toc37317815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5</w:t>
            </w:r>
            <w:r w:rsidR="009610E7" w:rsidRPr="00D443CB">
              <w:rPr>
                <w:rFonts w:ascii="Gill Sans MT" w:hAnsi="Gill Sans MT"/>
                <w:noProof/>
                <w:webHidden/>
              </w:rPr>
              <w:fldChar w:fldCharType="end"/>
            </w:r>
          </w:hyperlink>
        </w:p>
        <w:p w14:paraId="77D9583E" w14:textId="571DFD8E" w:rsidR="009610E7" w:rsidRPr="00D443CB" w:rsidRDefault="00CE2E64" w:rsidP="009610E7">
          <w:pPr>
            <w:pStyle w:val="TOC1"/>
            <w:tabs>
              <w:tab w:val="right" w:leader="dot" w:pos="10070"/>
            </w:tabs>
            <w:spacing w:after="0" w:line="240" w:lineRule="auto"/>
            <w:rPr>
              <w:rFonts w:ascii="Gill Sans MT" w:eastAsiaTheme="minorEastAsia" w:hAnsi="Gill Sans MT" w:cstheme="minorBidi"/>
              <w:noProof/>
            </w:rPr>
          </w:pPr>
          <w:hyperlink w:anchor="_Toc37317816" w:history="1">
            <w:r w:rsidR="009610E7" w:rsidRPr="00D443CB">
              <w:rPr>
                <w:rStyle w:val="Hyperlink"/>
                <w:rFonts w:ascii="Gill Sans MT" w:hAnsi="Gill Sans MT" w:cstheme="minorHAnsi"/>
                <w:noProof/>
              </w:rPr>
              <w:t>Definitions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_Toc37317816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6</w:t>
            </w:r>
            <w:r w:rsidR="009610E7" w:rsidRPr="00D443CB">
              <w:rPr>
                <w:rFonts w:ascii="Gill Sans MT" w:hAnsi="Gill Sans MT"/>
                <w:noProof/>
                <w:webHidden/>
              </w:rPr>
              <w:fldChar w:fldCharType="end"/>
            </w:r>
          </w:hyperlink>
        </w:p>
        <w:p w14:paraId="681B28A6" w14:textId="50588908" w:rsidR="009610E7" w:rsidRPr="00D443CB" w:rsidRDefault="00CE2E64" w:rsidP="009610E7">
          <w:pPr>
            <w:pStyle w:val="TOC1"/>
            <w:tabs>
              <w:tab w:val="left" w:pos="440"/>
              <w:tab w:val="right" w:leader="dot" w:pos="10070"/>
            </w:tabs>
            <w:spacing w:after="0" w:line="240" w:lineRule="auto"/>
            <w:rPr>
              <w:rFonts w:ascii="Gill Sans MT" w:eastAsiaTheme="minorEastAsia" w:hAnsi="Gill Sans MT" w:cstheme="minorBidi"/>
              <w:noProof/>
            </w:rPr>
          </w:pPr>
          <w:hyperlink w:anchor="_Toc37317817" w:history="1">
            <w:r w:rsidR="009610E7" w:rsidRPr="00D443CB">
              <w:rPr>
                <w:rStyle w:val="Hyperlink"/>
                <w:rFonts w:ascii="Gill Sans MT" w:hAnsi="Gill Sans MT" w:cstheme="minorHAnsi"/>
                <w:noProof/>
              </w:rPr>
              <w:t>A.</w:t>
            </w:r>
            <w:r w:rsidR="009610E7" w:rsidRPr="00D443CB">
              <w:rPr>
                <w:rFonts w:ascii="Gill Sans MT" w:eastAsiaTheme="minorEastAsia" w:hAnsi="Gill Sans MT" w:cstheme="minorBidi"/>
                <w:noProof/>
              </w:rPr>
              <w:tab/>
            </w:r>
            <w:r w:rsidR="009610E7" w:rsidRPr="00D443CB">
              <w:rPr>
                <w:rStyle w:val="Hyperlink"/>
                <w:rFonts w:ascii="Gill Sans MT" w:hAnsi="Gill Sans MT" w:cstheme="minorHAnsi"/>
                <w:noProof/>
              </w:rPr>
              <w:t>Introduction</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_Toc37317817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8</w:t>
            </w:r>
            <w:r w:rsidR="009610E7" w:rsidRPr="00D443CB">
              <w:rPr>
                <w:rFonts w:ascii="Gill Sans MT" w:hAnsi="Gill Sans MT"/>
                <w:noProof/>
                <w:webHidden/>
              </w:rPr>
              <w:fldChar w:fldCharType="end"/>
            </w:r>
          </w:hyperlink>
        </w:p>
        <w:p w14:paraId="74F35852" w14:textId="17B37530" w:rsidR="009610E7" w:rsidRPr="00D443CB" w:rsidRDefault="00CE2E64" w:rsidP="009610E7">
          <w:pPr>
            <w:pStyle w:val="TOC1"/>
            <w:tabs>
              <w:tab w:val="left" w:pos="440"/>
              <w:tab w:val="right" w:leader="dot" w:pos="10070"/>
            </w:tabs>
            <w:spacing w:after="0" w:line="240" w:lineRule="auto"/>
            <w:rPr>
              <w:rFonts w:ascii="Gill Sans MT" w:eastAsiaTheme="minorEastAsia" w:hAnsi="Gill Sans MT" w:cstheme="minorBidi"/>
              <w:noProof/>
            </w:rPr>
          </w:pPr>
          <w:hyperlink w:anchor="_Toc37317818" w:history="1">
            <w:r w:rsidR="009610E7" w:rsidRPr="00D443CB">
              <w:rPr>
                <w:rStyle w:val="Hyperlink"/>
                <w:rFonts w:ascii="Gill Sans MT" w:hAnsi="Gill Sans MT" w:cs="Calibri"/>
                <w:noProof/>
              </w:rPr>
              <w:t>B.</w:t>
            </w:r>
            <w:r w:rsidR="009610E7" w:rsidRPr="00D443CB">
              <w:rPr>
                <w:rFonts w:ascii="Gill Sans MT" w:eastAsiaTheme="minorEastAsia" w:hAnsi="Gill Sans MT" w:cstheme="minorBidi"/>
                <w:noProof/>
              </w:rPr>
              <w:tab/>
            </w:r>
            <w:r w:rsidR="009610E7" w:rsidRPr="00D443CB">
              <w:rPr>
                <w:rStyle w:val="Hyperlink"/>
                <w:rFonts w:ascii="Gill Sans MT" w:hAnsi="Gill Sans MT" w:cs="Calibri"/>
                <w:noProof/>
              </w:rPr>
              <w:t>The TB Diagnostic Network Assessment Tool (TB-Net Tool)</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_Toc37317818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9</w:t>
            </w:r>
            <w:r w:rsidR="009610E7" w:rsidRPr="00D443CB">
              <w:rPr>
                <w:rFonts w:ascii="Gill Sans MT" w:hAnsi="Gill Sans MT"/>
                <w:noProof/>
                <w:webHidden/>
              </w:rPr>
              <w:fldChar w:fldCharType="end"/>
            </w:r>
          </w:hyperlink>
        </w:p>
        <w:p w14:paraId="369030D5" w14:textId="5778FABD" w:rsidR="009610E7" w:rsidRPr="00D443CB" w:rsidRDefault="00CE2E64" w:rsidP="009610E7">
          <w:pPr>
            <w:pStyle w:val="TOC2"/>
            <w:rPr>
              <w:rFonts w:ascii="Gill Sans MT" w:eastAsiaTheme="minorEastAsia" w:hAnsi="Gill Sans MT" w:cstheme="minorBidi"/>
              <w:noProof/>
            </w:rPr>
          </w:pPr>
          <w:hyperlink w:anchor="_Toc37317819" w:history="1">
            <w:r w:rsidR="009610E7" w:rsidRPr="00D443CB">
              <w:rPr>
                <w:rStyle w:val="Hyperlink"/>
                <w:rFonts w:ascii="Gill Sans MT" w:hAnsi="Gill Sans MT" w:cstheme="minorHAnsi"/>
                <w:noProof/>
              </w:rPr>
              <w:t>Diagnostic Network Standards, Core Capacities and Components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_Toc37317819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9</w:t>
            </w:r>
            <w:r w:rsidR="009610E7" w:rsidRPr="00D443CB">
              <w:rPr>
                <w:rFonts w:ascii="Gill Sans MT" w:hAnsi="Gill Sans MT"/>
                <w:noProof/>
                <w:webHidden/>
              </w:rPr>
              <w:fldChar w:fldCharType="end"/>
            </w:r>
          </w:hyperlink>
        </w:p>
        <w:p w14:paraId="54AE3CB6" w14:textId="108664FD" w:rsidR="009610E7" w:rsidRPr="00D443CB" w:rsidRDefault="00CE2E64" w:rsidP="009610E7">
          <w:pPr>
            <w:pStyle w:val="TOC2"/>
            <w:rPr>
              <w:rFonts w:ascii="Gill Sans MT" w:eastAsiaTheme="minorEastAsia" w:hAnsi="Gill Sans MT" w:cstheme="minorBidi"/>
              <w:noProof/>
            </w:rPr>
          </w:pPr>
          <w:hyperlink w:anchor="_Toc37317820" w:history="1">
            <w:r w:rsidR="009610E7" w:rsidRPr="00D443CB">
              <w:rPr>
                <w:rStyle w:val="Hyperlink"/>
                <w:rFonts w:ascii="Gill Sans MT" w:hAnsi="Gill Sans MT" w:cstheme="minorHAnsi"/>
                <w:bCs/>
                <w:noProof/>
              </w:rPr>
              <w:t>Questions and Stages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_Toc37317820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12</w:t>
            </w:r>
            <w:r w:rsidR="009610E7" w:rsidRPr="00D443CB">
              <w:rPr>
                <w:rFonts w:ascii="Gill Sans MT" w:hAnsi="Gill Sans MT"/>
                <w:noProof/>
                <w:webHidden/>
              </w:rPr>
              <w:fldChar w:fldCharType="end"/>
            </w:r>
          </w:hyperlink>
        </w:p>
        <w:p w14:paraId="3B5BEA15" w14:textId="2D71978F" w:rsidR="009610E7" w:rsidRPr="00D443CB" w:rsidRDefault="00CE2E64" w:rsidP="009610E7">
          <w:pPr>
            <w:pStyle w:val="TOC2"/>
            <w:rPr>
              <w:rFonts w:ascii="Gill Sans MT" w:eastAsiaTheme="minorEastAsia" w:hAnsi="Gill Sans MT" w:cstheme="minorBidi"/>
              <w:noProof/>
            </w:rPr>
          </w:pPr>
          <w:hyperlink w:anchor="_Toc37317821" w:history="1">
            <w:r w:rsidR="009610E7" w:rsidRPr="00D443CB">
              <w:rPr>
                <w:rStyle w:val="Hyperlink"/>
                <w:rFonts w:ascii="Gill Sans MT" w:hAnsi="Gill Sans MT" w:cstheme="minorHAnsi"/>
                <w:bCs/>
                <w:noProof/>
              </w:rPr>
              <w:t>Determining the capability stage and progress towards achieving core capacities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_Toc37317821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12</w:t>
            </w:r>
            <w:r w:rsidR="009610E7" w:rsidRPr="00D443CB">
              <w:rPr>
                <w:rFonts w:ascii="Gill Sans MT" w:hAnsi="Gill Sans MT"/>
                <w:noProof/>
                <w:webHidden/>
              </w:rPr>
              <w:fldChar w:fldCharType="end"/>
            </w:r>
          </w:hyperlink>
        </w:p>
        <w:p w14:paraId="50300AE9" w14:textId="56CE4F95" w:rsidR="009610E7" w:rsidRPr="00D443CB" w:rsidRDefault="00CE2E64" w:rsidP="009610E7">
          <w:pPr>
            <w:pStyle w:val="TOC1"/>
            <w:tabs>
              <w:tab w:val="left" w:pos="440"/>
              <w:tab w:val="right" w:leader="dot" w:pos="10070"/>
            </w:tabs>
            <w:spacing w:after="0" w:line="240" w:lineRule="auto"/>
            <w:rPr>
              <w:rFonts w:ascii="Gill Sans MT" w:eastAsiaTheme="minorEastAsia" w:hAnsi="Gill Sans MT" w:cstheme="minorBidi"/>
              <w:noProof/>
            </w:rPr>
          </w:pPr>
          <w:hyperlink w:anchor="_Toc37317822" w:history="1">
            <w:r w:rsidR="009610E7" w:rsidRPr="00D443CB">
              <w:rPr>
                <w:rStyle w:val="Hyperlink"/>
                <w:rFonts w:ascii="Gill Sans MT" w:hAnsi="Gill Sans MT" w:cs="Calibri"/>
                <w:noProof/>
              </w:rPr>
              <w:t>C.</w:t>
            </w:r>
            <w:r w:rsidR="009610E7" w:rsidRPr="00D443CB">
              <w:rPr>
                <w:rFonts w:ascii="Gill Sans MT" w:eastAsiaTheme="minorEastAsia" w:hAnsi="Gill Sans MT" w:cstheme="minorBidi"/>
                <w:noProof/>
              </w:rPr>
              <w:tab/>
            </w:r>
            <w:r w:rsidR="009610E7" w:rsidRPr="00D443CB">
              <w:rPr>
                <w:rStyle w:val="Hyperlink"/>
                <w:rFonts w:ascii="Gill Sans MT" w:hAnsi="Gill Sans MT" w:cs="Calibri"/>
                <w:noProof/>
              </w:rPr>
              <w:t>The Assessment Process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_Toc37317822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14</w:t>
            </w:r>
            <w:r w:rsidR="009610E7" w:rsidRPr="00D443CB">
              <w:rPr>
                <w:rFonts w:ascii="Gill Sans MT" w:hAnsi="Gill Sans MT"/>
                <w:noProof/>
                <w:webHidden/>
              </w:rPr>
              <w:fldChar w:fldCharType="end"/>
            </w:r>
          </w:hyperlink>
        </w:p>
        <w:p w14:paraId="5E1F59F8" w14:textId="4E7B3FCA" w:rsidR="009610E7" w:rsidRPr="00D443CB" w:rsidRDefault="00CE2E64" w:rsidP="009610E7">
          <w:pPr>
            <w:pStyle w:val="TOC2"/>
            <w:rPr>
              <w:rFonts w:ascii="Gill Sans MT" w:eastAsiaTheme="minorEastAsia" w:hAnsi="Gill Sans MT" w:cstheme="minorBidi"/>
              <w:noProof/>
            </w:rPr>
          </w:pPr>
          <w:hyperlink w:anchor="_Toc37317823" w:history="1">
            <w:r w:rsidR="009610E7" w:rsidRPr="00D443CB">
              <w:rPr>
                <w:rStyle w:val="Hyperlink"/>
                <w:rFonts w:ascii="Gill Sans MT" w:hAnsi="Gill Sans MT" w:cstheme="minorHAnsi"/>
                <w:noProof/>
              </w:rPr>
              <w:t>1. Pre-assessment data collection and analysis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_Toc37317823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14</w:t>
            </w:r>
            <w:r w:rsidR="009610E7" w:rsidRPr="00D443CB">
              <w:rPr>
                <w:rFonts w:ascii="Gill Sans MT" w:hAnsi="Gill Sans MT"/>
                <w:noProof/>
                <w:webHidden/>
              </w:rPr>
              <w:fldChar w:fldCharType="end"/>
            </w:r>
          </w:hyperlink>
        </w:p>
        <w:p w14:paraId="73CB6A50" w14:textId="393FB109" w:rsidR="009610E7" w:rsidRPr="00D443CB" w:rsidRDefault="00CE2E64" w:rsidP="009610E7">
          <w:pPr>
            <w:pStyle w:val="TOC2"/>
            <w:rPr>
              <w:rFonts w:ascii="Gill Sans MT" w:eastAsiaTheme="minorEastAsia" w:hAnsi="Gill Sans MT" w:cstheme="minorBidi"/>
              <w:noProof/>
            </w:rPr>
          </w:pPr>
          <w:hyperlink w:anchor="_Toc37317824" w:history="1">
            <w:r w:rsidR="009610E7" w:rsidRPr="00D443CB">
              <w:rPr>
                <w:rStyle w:val="Hyperlink"/>
                <w:rFonts w:ascii="Gill Sans MT" w:hAnsi="Gill Sans MT" w:cstheme="minorHAnsi"/>
                <w:noProof/>
              </w:rPr>
              <w:t>2. Self-assessment staging of TB diagnostic network core capacities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_Toc37317824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15</w:t>
            </w:r>
            <w:r w:rsidR="009610E7" w:rsidRPr="00D443CB">
              <w:rPr>
                <w:rFonts w:ascii="Gill Sans MT" w:hAnsi="Gill Sans MT"/>
                <w:noProof/>
                <w:webHidden/>
              </w:rPr>
              <w:fldChar w:fldCharType="end"/>
            </w:r>
          </w:hyperlink>
        </w:p>
        <w:p w14:paraId="5DBA7C7E" w14:textId="5C960C66" w:rsidR="009610E7" w:rsidRPr="00D443CB" w:rsidRDefault="00CE2E64" w:rsidP="009610E7">
          <w:pPr>
            <w:pStyle w:val="TOC2"/>
            <w:rPr>
              <w:rFonts w:ascii="Gill Sans MT" w:eastAsiaTheme="minorEastAsia" w:hAnsi="Gill Sans MT" w:cstheme="minorBidi"/>
              <w:noProof/>
            </w:rPr>
          </w:pPr>
          <w:hyperlink w:anchor="_Toc37317825" w:history="1">
            <w:r w:rsidR="009610E7" w:rsidRPr="00D443CB">
              <w:rPr>
                <w:rStyle w:val="Hyperlink"/>
                <w:rFonts w:ascii="Gill Sans MT" w:hAnsi="Gill Sans MT" w:cstheme="minorHAnsi"/>
                <w:noProof/>
              </w:rPr>
              <w:t>3. Review of self-assessment and in-country verification by the assessment team</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_Toc37317825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16</w:t>
            </w:r>
            <w:r w:rsidR="009610E7" w:rsidRPr="00D443CB">
              <w:rPr>
                <w:rFonts w:ascii="Gill Sans MT" w:hAnsi="Gill Sans MT"/>
                <w:noProof/>
                <w:webHidden/>
              </w:rPr>
              <w:fldChar w:fldCharType="end"/>
            </w:r>
          </w:hyperlink>
        </w:p>
        <w:p w14:paraId="5646CA4F" w14:textId="1F7923D3" w:rsidR="009610E7" w:rsidRPr="00D443CB" w:rsidRDefault="00CE2E64" w:rsidP="009610E7">
          <w:pPr>
            <w:pStyle w:val="TOC2"/>
            <w:rPr>
              <w:rFonts w:ascii="Gill Sans MT" w:eastAsiaTheme="minorEastAsia" w:hAnsi="Gill Sans MT" w:cstheme="minorBidi"/>
              <w:noProof/>
            </w:rPr>
          </w:pPr>
          <w:hyperlink w:anchor="_Toc37317826" w:history="1">
            <w:r w:rsidR="009610E7" w:rsidRPr="00D443CB">
              <w:rPr>
                <w:rStyle w:val="Hyperlink"/>
                <w:rFonts w:ascii="Gill Sans MT" w:hAnsi="Gill Sans MT" w:cstheme="minorHAnsi"/>
                <w:noProof/>
              </w:rPr>
              <w:t>4. Review of overall findings and development of priority interventions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_Toc37317826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17</w:t>
            </w:r>
            <w:r w:rsidR="009610E7" w:rsidRPr="00D443CB">
              <w:rPr>
                <w:rFonts w:ascii="Gill Sans MT" w:hAnsi="Gill Sans MT"/>
                <w:noProof/>
                <w:webHidden/>
              </w:rPr>
              <w:fldChar w:fldCharType="end"/>
            </w:r>
          </w:hyperlink>
        </w:p>
        <w:p w14:paraId="74CC1F0C" w14:textId="76ACCE0C" w:rsidR="009610E7" w:rsidRPr="00D443CB" w:rsidRDefault="00CE2E64" w:rsidP="009610E7">
          <w:pPr>
            <w:pStyle w:val="TOC1"/>
            <w:tabs>
              <w:tab w:val="left" w:pos="440"/>
              <w:tab w:val="right" w:leader="dot" w:pos="10070"/>
            </w:tabs>
            <w:spacing w:after="0" w:line="240" w:lineRule="auto"/>
            <w:rPr>
              <w:rFonts w:ascii="Gill Sans MT" w:eastAsiaTheme="minorEastAsia" w:hAnsi="Gill Sans MT" w:cstheme="minorBidi"/>
              <w:noProof/>
            </w:rPr>
          </w:pPr>
          <w:hyperlink w:anchor="_Toc37317827" w:history="1">
            <w:r w:rsidR="009610E7" w:rsidRPr="00D443CB">
              <w:rPr>
                <w:rStyle w:val="Hyperlink"/>
                <w:rFonts w:ascii="Gill Sans MT" w:hAnsi="Gill Sans MT" w:cstheme="minorHAnsi"/>
                <w:noProof/>
              </w:rPr>
              <w:t>D.</w:t>
            </w:r>
            <w:r w:rsidR="009610E7" w:rsidRPr="00D443CB">
              <w:rPr>
                <w:rFonts w:ascii="Gill Sans MT" w:eastAsiaTheme="minorEastAsia" w:hAnsi="Gill Sans MT" w:cstheme="minorBidi"/>
                <w:noProof/>
              </w:rPr>
              <w:tab/>
            </w:r>
            <w:r w:rsidR="009610E7" w:rsidRPr="00D443CB">
              <w:rPr>
                <w:rStyle w:val="Hyperlink"/>
                <w:rFonts w:ascii="Gill Sans MT" w:hAnsi="Gill Sans MT" w:cstheme="minorHAnsi"/>
                <w:noProof/>
              </w:rPr>
              <w:t>Organizing and conducting an assessment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_Toc37317827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17</w:t>
            </w:r>
            <w:r w:rsidR="009610E7" w:rsidRPr="00D443CB">
              <w:rPr>
                <w:rFonts w:ascii="Gill Sans MT" w:hAnsi="Gill Sans MT"/>
                <w:noProof/>
                <w:webHidden/>
              </w:rPr>
              <w:fldChar w:fldCharType="end"/>
            </w:r>
          </w:hyperlink>
        </w:p>
        <w:p w14:paraId="55D01435" w14:textId="2EFBF7A4" w:rsidR="009610E7" w:rsidRPr="00D443CB" w:rsidRDefault="00CE2E64" w:rsidP="009610E7">
          <w:pPr>
            <w:pStyle w:val="TOC2"/>
            <w:rPr>
              <w:rFonts w:ascii="Gill Sans MT" w:eastAsiaTheme="minorEastAsia" w:hAnsi="Gill Sans MT" w:cstheme="minorBidi"/>
              <w:noProof/>
            </w:rPr>
          </w:pPr>
          <w:hyperlink w:anchor="_Toc37317828" w:history="1">
            <w:r w:rsidR="009610E7" w:rsidRPr="00D443CB">
              <w:rPr>
                <w:rStyle w:val="Hyperlink"/>
                <w:rFonts w:ascii="Gill Sans MT" w:hAnsi="Gill Sans MT" w:cs="Calibri"/>
                <w:bCs/>
                <w:noProof/>
              </w:rPr>
              <w:t>Step 1: Pre-visit activities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_Toc37317828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17</w:t>
            </w:r>
            <w:r w:rsidR="009610E7" w:rsidRPr="00D443CB">
              <w:rPr>
                <w:rFonts w:ascii="Gill Sans MT" w:hAnsi="Gill Sans MT"/>
                <w:noProof/>
                <w:webHidden/>
              </w:rPr>
              <w:fldChar w:fldCharType="end"/>
            </w:r>
          </w:hyperlink>
        </w:p>
        <w:p w14:paraId="2AA4110B" w14:textId="6912618D" w:rsidR="009610E7" w:rsidRPr="00D443CB" w:rsidRDefault="00CE2E64" w:rsidP="009610E7">
          <w:pPr>
            <w:pStyle w:val="TOC2"/>
            <w:rPr>
              <w:rFonts w:ascii="Gill Sans MT" w:eastAsiaTheme="minorEastAsia" w:hAnsi="Gill Sans MT" w:cstheme="minorBidi"/>
              <w:noProof/>
            </w:rPr>
          </w:pPr>
          <w:hyperlink w:anchor="_Toc37317829" w:history="1">
            <w:r w:rsidR="009610E7" w:rsidRPr="00D443CB">
              <w:rPr>
                <w:rStyle w:val="Hyperlink"/>
                <w:rFonts w:ascii="Gill Sans MT" w:hAnsi="Gill Sans MT" w:cs="Calibri"/>
                <w:bCs/>
                <w:noProof/>
              </w:rPr>
              <w:t>Step 2: In-country activities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_Toc37317829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20</w:t>
            </w:r>
            <w:r w:rsidR="009610E7" w:rsidRPr="00D443CB">
              <w:rPr>
                <w:rFonts w:ascii="Gill Sans MT" w:hAnsi="Gill Sans MT"/>
                <w:noProof/>
                <w:webHidden/>
              </w:rPr>
              <w:fldChar w:fldCharType="end"/>
            </w:r>
          </w:hyperlink>
        </w:p>
        <w:p w14:paraId="732E9A06" w14:textId="1490FF3D" w:rsidR="009610E7" w:rsidRPr="00D443CB" w:rsidRDefault="00CE2E64" w:rsidP="009610E7">
          <w:pPr>
            <w:pStyle w:val="TOC2"/>
            <w:rPr>
              <w:rFonts w:ascii="Gill Sans MT" w:eastAsiaTheme="minorEastAsia" w:hAnsi="Gill Sans MT" w:cstheme="minorBidi"/>
              <w:noProof/>
            </w:rPr>
          </w:pPr>
          <w:hyperlink w:anchor="_Toc37317830" w:history="1">
            <w:r w:rsidR="009610E7" w:rsidRPr="00D443CB">
              <w:rPr>
                <w:rStyle w:val="Hyperlink"/>
                <w:rFonts w:ascii="Gill Sans MT" w:hAnsi="Gill Sans MT" w:cstheme="minorHAnsi"/>
                <w:bCs/>
                <w:noProof/>
              </w:rPr>
              <w:t>Step 3: Post-assessment activities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_Toc37317830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24</w:t>
            </w:r>
            <w:r w:rsidR="009610E7" w:rsidRPr="00D443CB">
              <w:rPr>
                <w:rFonts w:ascii="Gill Sans MT" w:hAnsi="Gill Sans MT"/>
                <w:noProof/>
                <w:webHidden/>
              </w:rPr>
              <w:fldChar w:fldCharType="end"/>
            </w:r>
          </w:hyperlink>
        </w:p>
        <w:p w14:paraId="5DD7DFE0" w14:textId="640BF2D0" w:rsidR="009610E7" w:rsidRPr="00D443CB" w:rsidRDefault="00CE2E64" w:rsidP="009610E7">
          <w:pPr>
            <w:pStyle w:val="TOC1"/>
            <w:tabs>
              <w:tab w:val="right" w:leader="dot" w:pos="10070"/>
            </w:tabs>
            <w:spacing w:after="0" w:line="240" w:lineRule="auto"/>
            <w:rPr>
              <w:rFonts w:ascii="Gill Sans MT" w:eastAsiaTheme="minorEastAsia" w:hAnsi="Gill Sans MT" w:cstheme="minorBidi"/>
              <w:noProof/>
            </w:rPr>
          </w:pPr>
          <w:hyperlink w:anchor="_Toc37317831" w:history="1">
            <w:r w:rsidR="009610E7" w:rsidRPr="00D443CB">
              <w:rPr>
                <w:rStyle w:val="Hyperlink"/>
                <w:rFonts w:ascii="Gill Sans MT" w:hAnsi="Gill Sans MT" w:cstheme="minorHAnsi"/>
                <w:noProof/>
              </w:rPr>
              <w:t>Additional resources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_Toc37317831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25</w:t>
            </w:r>
            <w:r w:rsidR="009610E7" w:rsidRPr="00D443CB">
              <w:rPr>
                <w:rFonts w:ascii="Gill Sans MT" w:hAnsi="Gill Sans MT"/>
                <w:noProof/>
                <w:webHidden/>
              </w:rPr>
              <w:fldChar w:fldCharType="end"/>
            </w:r>
          </w:hyperlink>
        </w:p>
        <w:p w14:paraId="3DB46C6B" w14:textId="47D8B279" w:rsidR="009610E7" w:rsidRPr="00D443CB" w:rsidRDefault="00CE2E64" w:rsidP="009610E7">
          <w:pPr>
            <w:pStyle w:val="TOC1"/>
            <w:tabs>
              <w:tab w:val="right" w:leader="dot" w:pos="10070"/>
            </w:tabs>
            <w:spacing w:after="0" w:line="240" w:lineRule="auto"/>
            <w:rPr>
              <w:rFonts w:ascii="Gill Sans MT" w:eastAsiaTheme="minorEastAsia" w:hAnsi="Gill Sans MT" w:cstheme="minorBidi"/>
              <w:noProof/>
            </w:rPr>
          </w:pPr>
          <w:hyperlink w:anchor="_Toc37317832" w:history="1">
            <w:r w:rsidR="009610E7" w:rsidRPr="00D443CB">
              <w:rPr>
                <w:rStyle w:val="Hyperlink"/>
                <w:rFonts w:ascii="Gill Sans MT" w:hAnsi="Gill Sans MT" w:cs="Calibri"/>
                <w:noProof/>
              </w:rPr>
              <w:t>ANNEXES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_Toc37317832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26</w:t>
            </w:r>
            <w:r w:rsidR="009610E7" w:rsidRPr="00D443CB">
              <w:rPr>
                <w:rFonts w:ascii="Gill Sans MT" w:hAnsi="Gill Sans MT"/>
                <w:noProof/>
                <w:webHidden/>
              </w:rPr>
              <w:fldChar w:fldCharType="end"/>
            </w:r>
          </w:hyperlink>
        </w:p>
        <w:p w14:paraId="4DB008C1" w14:textId="56415012" w:rsidR="009610E7" w:rsidRPr="00D443CB" w:rsidRDefault="00CE2E64" w:rsidP="009610E7">
          <w:pPr>
            <w:pStyle w:val="TOC2"/>
            <w:rPr>
              <w:rFonts w:ascii="Gill Sans MT" w:eastAsiaTheme="minorEastAsia" w:hAnsi="Gill Sans MT" w:cstheme="minorBidi"/>
              <w:noProof/>
            </w:rPr>
          </w:pPr>
          <w:hyperlink w:anchor="_Toc37317833" w:history="1">
            <w:r w:rsidR="009610E7" w:rsidRPr="00D443CB">
              <w:rPr>
                <w:rStyle w:val="Hyperlink"/>
                <w:rFonts w:ascii="Gill Sans MT" w:hAnsi="Gill Sans MT" w:cs="Calibri Light"/>
                <w:noProof/>
              </w:rPr>
              <w:t>Annex 1: Background information on capacities, components and questions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_Toc37317833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26</w:t>
            </w:r>
            <w:r w:rsidR="009610E7" w:rsidRPr="00D443CB">
              <w:rPr>
                <w:rFonts w:ascii="Gill Sans MT" w:hAnsi="Gill Sans MT"/>
                <w:noProof/>
                <w:webHidden/>
              </w:rPr>
              <w:fldChar w:fldCharType="end"/>
            </w:r>
          </w:hyperlink>
        </w:p>
        <w:p w14:paraId="754CC3AE" w14:textId="5DE6F5A9" w:rsidR="009610E7" w:rsidRPr="00D443CB" w:rsidRDefault="00CE2E64" w:rsidP="009610E7">
          <w:pPr>
            <w:pStyle w:val="TOC2"/>
            <w:rPr>
              <w:rFonts w:ascii="Gill Sans MT" w:eastAsiaTheme="minorEastAsia" w:hAnsi="Gill Sans MT" w:cstheme="minorBidi"/>
              <w:noProof/>
            </w:rPr>
          </w:pPr>
          <w:hyperlink w:anchor="_Toc37317834" w:history="1">
            <w:r w:rsidR="009610E7" w:rsidRPr="00D443CB">
              <w:rPr>
                <w:rStyle w:val="Hyperlink"/>
                <w:rFonts w:ascii="Gill Sans MT" w:hAnsi="Gill Sans MT" w:cs="Calibri Light"/>
                <w:noProof/>
              </w:rPr>
              <w:t>Annex 2: Diagnostic data and indicators to include in pre-assessment data</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_Toc37317834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47</w:t>
            </w:r>
            <w:r w:rsidR="009610E7" w:rsidRPr="00D443CB">
              <w:rPr>
                <w:rFonts w:ascii="Gill Sans MT" w:hAnsi="Gill Sans MT"/>
                <w:noProof/>
                <w:webHidden/>
              </w:rPr>
              <w:fldChar w:fldCharType="end"/>
            </w:r>
          </w:hyperlink>
        </w:p>
        <w:p w14:paraId="1CFBD5CF" w14:textId="60A4012D" w:rsidR="009610E7" w:rsidRPr="00D443CB" w:rsidRDefault="00CE2E64" w:rsidP="009610E7">
          <w:pPr>
            <w:pStyle w:val="TOC2"/>
            <w:rPr>
              <w:rFonts w:ascii="Gill Sans MT" w:eastAsiaTheme="minorEastAsia" w:hAnsi="Gill Sans MT" w:cstheme="minorBidi"/>
              <w:noProof/>
            </w:rPr>
          </w:pPr>
          <w:hyperlink w:anchor="_Toc37317835" w:history="1">
            <w:r w:rsidR="009610E7" w:rsidRPr="00D443CB">
              <w:rPr>
                <w:rStyle w:val="Hyperlink"/>
                <w:rFonts w:ascii="Gill Sans MT" w:hAnsi="Gill Sans MT" w:cs="Calibri Light"/>
                <w:noProof/>
              </w:rPr>
              <w:t>Annex 3: Diagnostic Process and Network Indicators to include in pre-assessment data</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_Toc37317835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51</w:t>
            </w:r>
            <w:r w:rsidR="009610E7" w:rsidRPr="00D443CB">
              <w:rPr>
                <w:rFonts w:ascii="Gill Sans MT" w:hAnsi="Gill Sans MT"/>
                <w:noProof/>
                <w:webHidden/>
              </w:rPr>
              <w:fldChar w:fldCharType="end"/>
            </w:r>
          </w:hyperlink>
        </w:p>
        <w:p w14:paraId="044639C0" w14:textId="0BB75939" w:rsidR="009610E7" w:rsidRPr="00D443CB" w:rsidRDefault="00CE2E64" w:rsidP="009610E7">
          <w:pPr>
            <w:pStyle w:val="TOC2"/>
            <w:rPr>
              <w:rFonts w:ascii="Gill Sans MT" w:eastAsiaTheme="minorEastAsia" w:hAnsi="Gill Sans MT" w:cstheme="minorBidi"/>
              <w:noProof/>
            </w:rPr>
          </w:pPr>
          <w:hyperlink w:anchor="_Toc37317836" w:history="1">
            <w:r w:rsidR="009610E7" w:rsidRPr="00D443CB">
              <w:rPr>
                <w:rStyle w:val="Hyperlink"/>
                <w:rFonts w:ascii="Gill Sans MT" w:hAnsi="Gill Sans MT" w:cs="Calibri Light"/>
                <w:noProof/>
              </w:rPr>
              <w:t>Annex 4: List of documents to be collected in advance of the assessment visit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_Toc37317836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54</w:t>
            </w:r>
            <w:r w:rsidR="009610E7" w:rsidRPr="00D443CB">
              <w:rPr>
                <w:rFonts w:ascii="Gill Sans MT" w:hAnsi="Gill Sans MT"/>
                <w:noProof/>
                <w:webHidden/>
              </w:rPr>
              <w:fldChar w:fldCharType="end"/>
            </w:r>
          </w:hyperlink>
        </w:p>
        <w:p w14:paraId="15221C2C" w14:textId="3B5DEA6D" w:rsidR="009610E7" w:rsidRPr="00D443CB" w:rsidRDefault="00CE2E64" w:rsidP="009610E7">
          <w:pPr>
            <w:pStyle w:val="TOC2"/>
            <w:rPr>
              <w:rFonts w:ascii="Gill Sans MT" w:eastAsiaTheme="minorEastAsia" w:hAnsi="Gill Sans MT" w:cstheme="minorBidi"/>
              <w:noProof/>
            </w:rPr>
          </w:pPr>
          <w:hyperlink w:anchor="_Toc37317837" w:history="1">
            <w:r w:rsidR="009610E7" w:rsidRPr="00D443CB">
              <w:rPr>
                <w:rStyle w:val="Hyperlink"/>
                <w:rFonts w:ascii="Gill Sans MT" w:hAnsi="Gill Sans MT" w:cs="Calibri Light"/>
                <w:noProof/>
              </w:rPr>
              <w:t>Annex 5: Laboratory statistics and data collection form</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_Toc37317837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57</w:t>
            </w:r>
            <w:r w:rsidR="009610E7" w:rsidRPr="00D443CB">
              <w:rPr>
                <w:rFonts w:ascii="Gill Sans MT" w:hAnsi="Gill Sans MT"/>
                <w:noProof/>
                <w:webHidden/>
              </w:rPr>
              <w:fldChar w:fldCharType="end"/>
            </w:r>
          </w:hyperlink>
        </w:p>
        <w:p w14:paraId="589F77E9" w14:textId="435A5D2A" w:rsidR="009610E7" w:rsidRPr="00D443CB" w:rsidRDefault="00CE2E64" w:rsidP="009610E7">
          <w:pPr>
            <w:pStyle w:val="TOC2"/>
            <w:rPr>
              <w:rFonts w:ascii="Gill Sans MT" w:eastAsiaTheme="minorEastAsia" w:hAnsi="Gill Sans MT" w:cstheme="minorBidi"/>
              <w:noProof/>
            </w:rPr>
          </w:pPr>
          <w:hyperlink w:anchor="_Toc37317838" w:history="1">
            <w:r w:rsidR="009610E7" w:rsidRPr="00D443CB">
              <w:rPr>
                <w:rStyle w:val="Hyperlink"/>
                <w:rFonts w:ascii="Gill Sans MT" w:hAnsi="Gill Sans MT" w:cs="Calibri Light"/>
                <w:noProof/>
              </w:rPr>
              <w:t>Annex 7: Topic-specific checklists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_Toc37317838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72</w:t>
            </w:r>
            <w:r w:rsidR="009610E7" w:rsidRPr="00D443CB">
              <w:rPr>
                <w:rFonts w:ascii="Gill Sans MT" w:hAnsi="Gill Sans MT"/>
                <w:noProof/>
                <w:webHidden/>
              </w:rPr>
              <w:fldChar w:fldCharType="end"/>
            </w:r>
          </w:hyperlink>
        </w:p>
        <w:p w14:paraId="78C7FAC3" w14:textId="74A48C73" w:rsidR="009610E7" w:rsidRPr="00D443CB" w:rsidRDefault="00CE2E64" w:rsidP="009610E7">
          <w:pPr>
            <w:pStyle w:val="TOC3"/>
            <w:tabs>
              <w:tab w:val="right" w:leader="dot" w:pos="10070"/>
            </w:tabs>
            <w:spacing w:after="0" w:line="240" w:lineRule="auto"/>
            <w:rPr>
              <w:rFonts w:ascii="Gill Sans MT" w:eastAsiaTheme="minorEastAsia" w:hAnsi="Gill Sans MT" w:cstheme="minorBidi"/>
              <w:noProof/>
            </w:rPr>
          </w:pPr>
          <w:hyperlink w:anchor="_Toc37317839" w:history="1">
            <w:r w:rsidR="009610E7" w:rsidRPr="00D443CB">
              <w:rPr>
                <w:rStyle w:val="Hyperlink"/>
                <w:rFonts w:ascii="Gill Sans MT" w:hAnsi="Gill Sans MT" w:cs="Calibri"/>
                <w:b/>
                <w:noProof/>
              </w:rPr>
              <w:t>Specimen referral checklist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_Toc37317839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72</w:t>
            </w:r>
            <w:r w:rsidR="009610E7" w:rsidRPr="00D443CB">
              <w:rPr>
                <w:rFonts w:ascii="Gill Sans MT" w:hAnsi="Gill Sans MT"/>
                <w:noProof/>
                <w:webHidden/>
              </w:rPr>
              <w:fldChar w:fldCharType="end"/>
            </w:r>
          </w:hyperlink>
        </w:p>
        <w:p w14:paraId="2AEBF1DE" w14:textId="5C3A2838" w:rsidR="009610E7" w:rsidRPr="00D443CB" w:rsidRDefault="00CE2E64" w:rsidP="009610E7">
          <w:pPr>
            <w:pStyle w:val="TOC3"/>
            <w:tabs>
              <w:tab w:val="right" w:leader="dot" w:pos="10070"/>
            </w:tabs>
            <w:spacing w:after="0" w:line="240" w:lineRule="auto"/>
            <w:rPr>
              <w:rFonts w:ascii="Gill Sans MT" w:eastAsiaTheme="minorEastAsia" w:hAnsi="Gill Sans MT" w:cstheme="minorBidi"/>
              <w:noProof/>
            </w:rPr>
          </w:pPr>
          <w:hyperlink w:anchor="_Toc37317840" w:history="1">
            <w:r w:rsidR="009610E7" w:rsidRPr="00D443CB">
              <w:rPr>
                <w:rStyle w:val="Hyperlink"/>
                <w:rFonts w:ascii="Gill Sans MT" w:hAnsi="Gill Sans MT" w:cs="Calibri"/>
                <w:b/>
                <w:noProof/>
              </w:rPr>
              <w:t>Diagnostic data management in the TB diagnostic network checklist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_Toc37317840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76</w:t>
            </w:r>
            <w:r w:rsidR="009610E7" w:rsidRPr="00D443CB">
              <w:rPr>
                <w:rFonts w:ascii="Gill Sans MT" w:hAnsi="Gill Sans MT"/>
                <w:noProof/>
                <w:webHidden/>
              </w:rPr>
              <w:fldChar w:fldCharType="end"/>
            </w:r>
          </w:hyperlink>
        </w:p>
        <w:p w14:paraId="38AAA232" w14:textId="13E13156" w:rsidR="009610E7" w:rsidRPr="00D443CB" w:rsidRDefault="00CE2E64" w:rsidP="009610E7">
          <w:pPr>
            <w:pStyle w:val="TOC3"/>
            <w:tabs>
              <w:tab w:val="right" w:leader="dot" w:pos="10070"/>
            </w:tabs>
            <w:spacing w:after="0" w:line="240" w:lineRule="auto"/>
            <w:rPr>
              <w:rFonts w:ascii="Gill Sans MT" w:eastAsiaTheme="minorEastAsia" w:hAnsi="Gill Sans MT" w:cstheme="minorBidi"/>
              <w:noProof/>
            </w:rPr>
          </w:pPr>
          <w:hyperlink w:anchor="_Toc37317841" w:history="1">
            <w:r w:rsidR="009610E7" w:rsidRPr="00D443CB">
              <w:rPr>
                <w:rStyle w:val="Hyperlink"/>
                <w:rFonts w:ascii="Gill Sans MT" w:hAnsi="Gill Sans MT" w:cstheme="minorHAnsi"/>
                <w:b/>
                <w:noProof/>
              </w:rPr>
              <w:t xml:space="preserve">Clinical-laboratory interface and the diagnostic cascade </w:t>
            </w:r>
            <w:r w:rsidR="009610E7" w:rsidRPr="00D443CB">
              <w:rPr>
                <w:rStyle w:val="Hyperlink"/>
                <w:rFonts w:ascii="Gill Sans MT" w:hAnsi="Gill Sans MT" w:cs="Calibri"/>
                <w:b/>
                <w:noProof/>
              </w:rPr>
              <w:t>checklist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_Toc37317841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80</w:t>
            </w:r>
            <w:r w:rsidR="009610E7" w:rsidRPr="00D443CB">
              <w:rPr>
                <w:rFonts w:ascii="Gill Sans MT" w:hAnsi="Gill Sans MT"/>
                <w:noProof/>
                <w:webHidden/>
              </w:rPr>
              <w:fldChar w:fldCharType="end"/>
            </w:r>
          </w:hyperlink>
        </w:p>
        <w:p w14:paraId="051D3C1F" w14:textId="02F10934" w:rsidR="009610E7" w:rsidRPr="00D443CB" w:rsidRDefault="00CE2E64" w:rsidP="009610E7">
          <w:pPr>
            <w:pStyle w:val="TOC3"/>
            <w:tabs>
              <w:tab w:val="right" w:leader="dot" w:pos="10070"/>
            </w:tabs>
            <w:spacing w:after="0" w:line="240" w:lineRule="auto"/>
            <w:rPr>
              <w:rFonts w:ascii="Gill Sans MT" w:eastAsiaTheme="minorEastAsia" w:hAnsi="Gill Sans MT" w:cstheme="minorBidi"/>
              <w:noProof/>
            </w:rPr>
          </w:pPr>
          <w:hyperlink w:anchor="_Toc37317842" w:history="1">
            <w:r w:rsidR="009610E7" w:rsidRPr="00D443CB">
              <w:rPr>
                <w:rStyle w:val="Hyperlink"/>
                <w:rFonts w:ascii="Gill Sans MT" w:hAnsi="Gill Sans MT" w:cs="Calibri"/>
                <w:b/>
                <w:iCs/>
                <w:noProof/>
              </w:rPr>
              <w:t>National Strategic Plan assessment checklist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_Toc37317842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84</w:t>
            </w:r>
            <w:r w:rsidR="009610E7" w:rsidRPr="00D443CB">
              <w:rPr>
                <w:rFonts w:ascii="Gill Sans MT" w:hAnsi="Gill Sans MT"/>
                <w:noProof/>
                <w:webHidden/>
              </w:rPr>
              <w:fldChar w:fldCharType="end"/>
            </w:r>
          </w:hyperlink>
        </w:p>
        <w:p w14:paraId="4D983093" w14:textId="613EE2F0" w:rsidR="009610E7" w:rsidRPr="00D443CB" w:rsidRDefault="00CE2E64" w:rsidP="009610E7">
          <w:pPr>
            <w:pStyle w:val="TOC3"/>
            <w:tabs>
              <w:tab w:val="right" w:leader="dot" w:pos="10070"/>
            </w:tabs>
            <w:spacing w:after="0" w:line="240" w:lineRule="auto"/>
            <w:rPr>
              <w:rFonts w:ascii="Gill Sans MT" w:eastAsiaTheme="minorEastAsia" w:hAnsi="Gill Sans MT" w:cstheme="minorBidi"/>
              <w:noProof/>
            </w:rPr>
          </w:pPr>
          <w:hyperlink w:anchor="_Toc37317843" w:history="1">
            <w:r w:rsidR="009610E7" w:rsidRPr="00D443CB">
              <w:rPr>
                <w:rStyle w:val="Hyperlink"/>
                <w:rFonts w:ascii="Gill Sans MT" w:hAnsi="Gill Sans MT" w:cs="Calibri"/>
                <w:b/>
                <w:iCs/>
                <w:noProof/>
              </w:rPr>
              <w:t>Chest X-ray checklist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_Toc37317843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85</w:t>
            </w:r>
            <w:r w:rsidR="009610E7" w:rsidRPr="00D443CB">
              <w:rPr>
                <w:rFonts w:ascii="Gill Sans MT" w:hAnsi="Gill Sans MT"/>
                <w:noProof/>
                <w:webHidden/>
              </w:rPr>
              <w:fldChar w:fldCharType="end"/>
            </w:r>
          </w:hyperlink>
        </w:p>
        <w:p w14:paraId="628C63E6" w14:textId="4F51258C" w:rsidR="009610E7" w:rsidRPr="00D443CB" w:rsidRDefault="00CE2E64" w:rsidP="009610E7">
          <w:pPr>
            <w:pStyle w:val="TOC3"/>
            <w:tabs>
              <w:tab w:val="right" w:leader="dot" w:pos="10070"/>
            </w:tabs>
            <w:spacing w:after="0" w:line="240" w:lineRule="auto"/>
            <w:rPr>
              <w:rFonts w:ascii="Gill Sans MT" w:eastAsiaTheme="minorEastAsia" w:hAnsi="Gill Sans MT" w:cstheme="minorBidi"/>
              <w:noProof/>
            </w:rPr>
          </w:pPr>
          <w:hyperlink w:anchor="_Toc37317844" w:history="1">
            <w:r w:rsidR="009610E7" w:rsidRPr="00D443CB">
              <w:rPr>
                <w:rStyle w:val="Hyperlink"/>
                <w:rFonts w:ascii="Gill Sans MT" w:hAnsi="Gill Sans MT" w:cs="Calibri"/>
                <w:b/>
                <w:iCs/>
                <w:noProof/>
              </w:rPr>
              <w:t>Private sector checklist</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_Toc37317844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88</w:t>
            </w:r>
            <w:r w:rsidR="009610E7" w:rsidRPr="00D443CB">
              <w:rPr>
                <w:rFonts w:ascii="Gill Sans MT" w:hAnsi="Gill Sans MT"/>
                <w:noProof/>
                <w:webHidden/>
              </w:rPr>
              <w:fldChar w:fldCharType="end"/>
            </w:r>
          </w:hyperlink>
        </w:p>
        <w:p w14:paraId="3EE148FE" w14:textId="1DD7AD72" w:rsidR="009610E7" w:rsidRPr="00D443CB" w:rsidRDefault="00CE2E64" w:rsidP="009610E7">
          <w:pPr>
            <w:pStyle w:val="TOC3"/>
            <w:tabs>
              <w:tab w:val="right" w:leader="dot" w:pos="10070"/>
            </w:tabs>
            <w:spacing w:after="0" w:line="240" w:lineRule="auto"/>
            <w:rPr>
              <w:rFonts w:ascii="Gill Sans MT" w:eastAsiaTheme="minorEastAsia" w:hAnsi="Gill Sans MT" w:cstheme="minorBidi"/>
              <w:noProof/>
            </w:rPr>
          </w:pPr>
          <w:hyperlink w:anchor="_Toc37317845" w:history="1">
            <w:r w:rsidR="009610E7" w:rsidRPr="00D443CB">
              <w:rPr>
                <w:rStyle w:val="Hyperlink"/>
                <w:rFonts w:ascii="Gill Sans MT" w:hAnsi="Gill Sans MT" w:cs="Calibri"/>
                <w:b/>
                <w:iCs/>
                <w:noProof/>
              </w:rPr>
              <w:t>Checklist for ancillary testing for patient monitoring</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_Toc37317845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90</w:t>
            </w:r>
            <w:r w:rsidR="009610E7" w:rsidRPr="00D443CB">
              <w:rPr>
                <w:rFonts w:ascii="Gill Sans MT" w:hAnsi="Gill Sans MT"/>
                <w:noProof/>
                <w:webHidden/>
              </w:rPr>
              <w:fldChar w:fldCharType="end"/>
            </w:r>
          </w:hyperlink>
        </w:p>
        <w:p w14:paraId="63BA1B54" w14:textId="642898F0" w:rsidR="009610E7" w:rsidRPr="00D443CB" w:rsidRDefault="00CE2E64" w:rsidP="009610E7">
          <w:pPr>
            <w:pStyle w:val="TOC2"/>
            <w:rPr>
              <w:rFonts w:ascii="Gill Sans MT" w:eastAsiaTheme="minorEastAsia" w:hAnsi="Gill Sans MT" w:cstheme="minorBidi"/>
              <w:noProof/>
            </w:rPr>
          </w:pPr>
          <w:hyperlink w:anchor="_Toc37317846" w:history="1">
            <w:r w:rsidR="009610E7" w:rsidRPr="00D443CB">
              <w:rPr>
                <w:rStyle w:val="Hyperlink"/>
                <w:rFonts w:ascii="Gill Sans MT" w:hAnsi="Gill Sans MT" w:cs="Calibri Light"/>
                <w:noProof/>
              </w:rPr>
              <w:t>Annex 8: Timeline of key activities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_Toc37317846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92</w:t>
            </w:r>
            <w:r w:rsidR="009610E7" w:rsidRPr="00D443CB">
              <w:rPr>
                <w:rFonts w:ascii="Gill Sans MT" w:hAnsi="Gill Sans MT"/>
                <w:noProof/>
                <w:webHidden/>
              </w:rPr>
              <w:fldChar w:fldCharType="end"/>
            </w:r>
          </w:hyperlink>
        </w:p>
        <w:p w14:paraId="75B7444C" w14:textId="28F0BFF8" w:rsidR="009610E7" w:rsidRPr="00D443CB" w:rsidRDefault="00CE2E64" w:rsidP="009610E7">
          <w:pPr>
            <w:pStyle w:val="TOC2"/>
            <w:rPr>
              <w:rFonts w:ascii="Gill Sans MT" w:eastAsiaTheme="minorEastAsia" w:hAnsi="Gill Sans MT" w:cstheme="minorBidi"/>
              <w:noProof/>
            </w:rPr>
          </w:pPr>
          <w:hyperlink w:anchor="_Toc37317847" w:history="1">
            <w:r w:rsidR="009610E7" w:rsidRPr="00D443CB">
              <w:rPr>
                <w:rStyle w:val="Hyperlink"/>
                <w:rFonts w:ascii="Gill Sans MT" w:hAnsi="Gill Sans MT" w:cs="Calibri Light"/>
                <w:noProof/>
              </w:rPr>
              <w:t>Annex 9: Budget considerations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_Toc37317847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94</w:t>
            </w:r>
            <w:r w:rsidR="009610E7" w:rsidRPr="00D443CB">
              <w:rPr>
                <w:rFonts w:ascii="Gill Sans MT" w:hAnsi="Gill Sans MT"/>
                <w:noProof/>
                <w:webHidden/>
              </w:rPr>
              <w:fldChar w:fldCharType="end"/>
            </w:r>
          </w:hyperlink>
        </w:p>
        <w:p w14:paraId="12C40F33" w14:textId="4E2C5239" w:rsidR="009610E7" w:rsidRPr="00D443CB" w:rsidRDefault="00CE2E64" w:rsidP="009610E7">
          <w:pPr>
            <w:pStyle w:val="TOC2"/>
            <w:rPr>
              <w:rFonts w:ascii="Gill Sans MT" w:eastAsiaTheme="minorEastAsia" w:hAnsi="Gill Sans MT" w:cstheme="minorBidi"/>
              <w:noProof/>
            </w:rPr>
          </w:pPr>
          <w:hyperlink w:anchor="_Toc37317848" w:history="1">
            <w:r w:rsidR="009610E7" w:rsidRPr="00D443CB">
              <w:rPr>
                <w:rStyle w:val="Hyperlink"/>
                <w:rFonts w:ascii="Gill Sans MT" w:hAnsi="Gill Sans MT" w:cs="Calibri Light"/>
                <w:noProof/>
              </w:rPr>
              <w:t>Annex 10: Selection of sites for verification visits and examples of schedules</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_Toc37317848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95</w:t>
            </w:r>
            <w:r w:rsidR="009610E7" w:rsidRPr="00D443CB">
              <w:rPr>
                <w:rFonts w:ascii="Gill Sans MT" w:hAnsi="Gill Sans MT"/>
                <w:noProof/>
                <w:webHidden/>
              </w:rPr>
              <w:fldChar w:fldCharType="end"/>
            </w:r>
          </w:hyperlink>
        </w:p>
        <w:p w14:paraId="0687C71C" w14:textId="69E1E946" w:rsidR="009610E7" w:rsidRPr="00D443CB" w:rsidRDefault="00CE2E64" w:rsidP="009610E7">
          <w:pPr>
            <w:pStyle w:val="TOC2"/>
            <w:rPr>
              <w:rFonts w:ascii="Gill Sans MT" w:eastAsiaTheme="minorEastAsia" w:hAnsi="Gill Sans MT" w:cstheme="minorBidi"/>
              <w:noProof/>
            </w:rPr>
          </w:pPr>
          <w:hyperlink w:anchor="_Toc37317849" w:history="1">
            <w:r w:rsidR="009610E7" w:rsidRPr="00D443CB">
              <w:rPr>
                <w:rStyle w:val="Hyperlink"/>
                <w:rFonts w:ascii="Gill Sans MT" w:hAnsi="Gill Sans MT" w:cs="Calibri Light"/>
                <w:noProof/>
              </w:rPr>
              <w:t>Annex 11: Example of a Schedule of Activities during an Assessment Mission</w:t>
            </w:r>
            <w:r w:rsidR="009610E7" w:rsidRPr="00D443CB">
              <w:rPr>
                <w:rFonts w:ascii="Gill Sans MT" w:hAnsi="Gill Sans MT"/>
                <w:noProof/>
                <w:webHidden/>
              </w:rPr>
              <w:tab/>
            </w:r>
            <w:r w:rsidR="009610E7" w:rsidRPr="00D443CB">
              <w:rPr>
                <w:rFonts w:ascii="Gill Sans MT" w:hAnsi="Gill Sans MT"/>
                <w:noProof/>
                <w:webHidden/>
              </w:rPr>
              <w:fldChar w:fldCharType="begin"/>
            </w:r>
            <w:r w:rsidR="009610E7" w:rsidRPr="00D443CB">
              <w:rPr>
                <w:rFonts w:ascii="Gill Sans MT" w:hAnsi="Gill Sans MT"/>
                <w:noProof/>
                <w:webHidden/>
              </w:rPr>
              <w:instrText xml:space="preserve"> PAGEREF _Toc37317849 \h </w:instrText>
            </w:r>
            <w:r w:rsidR="009610E7" w:rsidRPr="00D443CB">
              <w:rPr>
                <w:rFonts w:ascii="Gill Sans MT" w:hAnsi="Gill Sans MT"/>
                <w:noProof/>
                <w:webHidden/>
              </w:rPr>
            </w:r>
            <w:r w:rsidR="009610E7" w:rsidRPr="00D443CB">
              <w:rPr>
                <w:rFonts w:ascii="Gill Sans MT" w:hAnsi="Gill Sans MT"/>
                <w:noProof/>
                <w:webHidden/>
              </w:rPr>
              <w:fldChar w:fldCharType="separate"/>
            </w:r>
            <w:r w:rsidR="009610E7" w:rsidRPr="00D443CB">
              <w:rPr>
                <w:rFonts w:ascii="Gill Sans MT" w:hAnsi="Gill Sans MT"/>
                <w:noProof/>
                <w:webHidden/>
              </w:rPr>
              <w:t>100</w:t>
            </w:r>
            <w:r w:rsidR="009610E7" w:rsidRPr="00D443CB">
              <w:rPr>
                <w:rFonts w:ascii="Gill Sans MT" w:hAnsi="Gill Sans MT"/>
                <w:noProof/>
                <w:webHidden/>
              </w:rPr>
              <w:fldChar w:fldCharType="end"/>
            </w:r>
          </w:hyperlink>
        </w:p>
        <w:p w14:paraId="02ADABF2" w14:textId="21EE3DC3" w:rsidR="008A7CD7" w:rsidRPr="00D443CB" w:rsidRDefault="008A7CD7" w:rsidP="000F091F">
          <w:pPr>
            <w:spacing w:after="0" w:line="240" w:lineRule="auto"/>
            <w:rPr>
              <w:rFonts w:ascii="Gill Sans MT" w:hAnsi="Gill Sans MT"/>
            </w:rPr>
          </w:pPr>
          <w:r w:rsidRPr="00D443CB">
            <w:rPr>
              <w:rFonts w:ascii="Gill Sans MT" w:hAnsi="Gill Sans MT"/>
              <w:b/>
              <w:bCs/>
              <w:noProof/>
            </w:rPr>
            <w:fldChar w:fldCharType="end"/>
          </w:r>
        </w:p>
      </w:sdtContent>
    </w:sdt>
    <w:p w14:paraId="2DE87008" w14:textId="4C4584AD" w:rsidR="00995275" w:rsidRPr="00D443CB" w:rsidRDefault="00995275" w:rsidP="00071BF0">
      <w:pPr>
        <w:spacing w:after="0" w:line="240" w:lineRule="auto"/>
        <w:rPr>
          <w:rFonts w:ascii="Gill Sans MT" w:hAnsi="Gill Sans MT" w:cs="Calibri"/>
          <w:sz w:val="24"/>
          <w:szCs w:val="24"/>
        </w:rPr>
      </w:pPr>
      <w:r w:rsidRPr="00D443CB">
        <w:rPr>
          <w:rFonts w:ascii="Gill Sans MT" w:hAnsi="Gill Sans MT" w:cs="Calibri"/>
          <w:sz w:val="24"/>
          <w:szCs w:val="24"/>
        </w:rPr>
        <w:br w:type="page"/>
      </w:r>
    </w:p>
    <w:p w14:paraId="1BBA0864" w14:textId="77777777" w:rsidR="00995275" w:rsidRPr="00D443CB" w:rsidRDefault="00995275" w:rsidP="0063696A">
      <w:pPr>
        <w:keepNext/>
        <w:keepLines/>
        <w:spacing w:after="0" w:line="240" w:lineRule="auto"/>
        <w:jc w:val="both"/>
        <w:outlineLvl w:val="0"/>
        <w:rPr>
          <w:rFonts w:ascii="Gill Sans MT" w:hAnsi="Gill Sans MT" w:cstheme="minorHAnsi"/>
          <w:bCs/>
          <w:color w:val="000000" w:themeColor="text1"/>
          <w:sz w:val="28"/>
          <w:szCs w:val="28"/>
          <w:lang w:val="en-GB"/>
        </w:rPr>
      </w:pPr>
      <w:bookmarkStart w:id="3" w:name="_Toc490125740"/>
      <w:bookmarkStart w:id="4" w:name="_Toc37317812"/>
      <w:r w:rsidRPr="00D443CB">
        <w:rPr>
          <w:rFonts w:ascii="Gill Sans MT" w:hAnsi="Gill Sans MT" w:cstheme="minorHAnsi"/>
          <w:bCs/>
          <w:color w:val="000000" w:themeColor="text1"/>
          <w:sz w:val="28"/>
          <w:szCs w:val="28"/>
          <w:lang w:val="en-GB"/>
        </w:rPr>
        <w:lastRenderedPageBreak/>
        <w:t>Acknowledgements</w:t>
      </w:r>
      <w:bookmarkEnd w:id="3"/>
      <w:bookmarkEnd w:id="4"/>
    </w:p>
    <w:p w14:paraId="4AE0AB36" w14:textId="77777777" w:rsidR="00995275" w:rsidRPr="00D443CB" w:rsidRDefault="00995275" w:rsidP="007B4F1B">
      <w:pPr>
        <w:widowControl w:val="0"/>
        <w:spacing w:after="0" w:line="240" w:lineRule="auto"/>
        <w:rPr>
          <w:rFonts w:ascii="Gill Sans MT" w:eastAsia="Calibri" w:hAnsi="Gill Sans MT" w:cs="Arial"/>
          <w:iCs/>
          <w:lang w:val="en-GB"/>
        </w:rPr>
      </w:pPr>
    </w:p>
    <w:p w14:paraId="4CEE418D" w14:textId="109C521D" w:rsidR="00995275" w:rsidRPr="00D443CB" w:rsidRDefault="00AD54A8" w:rsidP="00AD54A8">
      <w:pPr>
        <w:widowControl w:val="0"/>
        <w:spacing w:after="0" w:line="240" w:lineRule="auto"/>
        <w:jc w:val="both"/>
        <w:rPr>
          <w:rFonts w:ascii="Gill Sans MT" w:eastAsia="Calibri" w:hAnsi="Gill Sans MT" w:cs="Arial"/>
          <w:iCs/>
          <w:lang w:val="en-GB"/>
        </w:rPr>
      </w:pPr>
      <w:r w:rsidRPr="00D443CB">
        <w:rPr>
          <w:rFonts w:ascii="Gill Sans MT" w:eastAsia="Calibri" w:hAnsi="Gill Sans MT" w:cs="Arial"/>
          <w:iCs/>
          <w:lang w:val="en-GB"/>
        </w:rPr>
        <w:t>This revision of the T</w:t>
      </w:r>
      <w:r w:rsidR="00ED5A7F" w:rsidRPr="00D443CB">
        <w:rPr>
          <w:rFonts w:ascii="Gill Sans MT" w:eastAsia="Calibri" w:hAnsi="Gill Sans MT" w:cs="Arial"/>
          <w:iCs/>
          <w:lang w:val="en-GB"/>
        </w:rPr>
        <w:t>uberculosis (T</w:t>
      </w:r>
      <w:r w:rsidRPr="00D443CB">
        <w:rPr>
          <w:rFonts w:ascii="Gill Sans MT" w:eastAsia="Calibri" w:hAnsi="Gill Sans MT" w:cs="Arial"/>
          <w:iCs/>
          <w:lang w:val="en-GB"/>
        </w:rPr>
        <w:t>B</w:t>
      </w:r>
      <w:r w:rsidR="00ED5A7F" w:rsidRPr="00D443CB">
        <w:rPr>
          <w:rFonts w:ascii="Gill Sans MT" w:eastAsia="Calibri" w:hAnsi="Gill Sans MT" w:cs="Arial"/>
          <w:iCs/>
          <w:lang w:val="en-GB"/>
        </w:rPr>
        <w:t>)</w:t>
      </w:r>
      <w:r w:rsidRPr="00D443CB">
        <w:rPr>
          <w:rFonts w:ascii="Gill Sans MT" w:eastAsia="Calibri" w:hAnsi="Gill Sans MT" w:cs="Arial"/>
          <w:iCs/>
          <w:lang w:val="en-GB"/>
        </w:rPr>
        <w:t xml:space="preserve"> Diagnostic Network Assessment Tool (TB-Net Tool) and Manual was led by Thomas Shinnick (Independent Consultant) and Cristina de la Torre, Ali Kwizera and Inoussa Zabasonre of the USAID-funded Infectious Disease Detection and Surveillance (IDDS) Project. It </w:t>
      </w:r>
      <w:r w:rsidR="00684696" w:rsidRPr="00D443CB">
        <w:rPr>
          <w:rFonts w:ascii="Gill Sans MT" w:eastAsia="Calibri" w:hAnsi="Gill Sans MT" w:cs="Arial"/>
          <w:iCs/>
          <w:lang w:val="en-GB"/>
        </w:rPr>
        <w:t>incorporates</w:t>
      </w:r>
      <w:r w:rsidRPr="00D443CB">
        <w:rPr>
          <w:rFonts w:ascii="Gill Sans MT" w:eastAsia="Calibri" w:hAnsi="Gill Sans MT" w:cs="Arial"/>
          <w:iCs/>
          <w:lang w:val="en-GB"/>
        </w:rPr>
        <w:t xml:space="preserve"> </w:t>
      </w:r>
      <w:r w:rsidR="00A11805" w:rsidRPr="00D443CB">
        <w:rPr>
          <w:rFonts w:ascii="Gill Sans MT" w:eastAsia="Calibri" w:hAnsi="Gill Sans MT" w:cs="Arial"/>
          <w:iCs/>
          <w:lang w:val="en-GB"/>
        </w:rPr>
        <w:t xml:space="preserve">refinements of </w:t>
      </w:r>
      <w:r w:rsidRPr="00D443CB">
        <w:rPr>
          <w:rFonts w:ascii="Gill Sans MT" w:eastAsia="Calibri" w:hAnsi="Gill Sans MT" w:cs="Arial"/>
          <w:iCs/>
          <w:lang w:val="en-GB"/>
        </w:rPr>
        <w:t xml:space="preserve">the </w:t>
      </w:r>
      <w:r w:rsidR="00A11805" w:rsidRPr="00D443CB">
        <w:rPr>
          <w:rFonts w:ascii="Gill Sans MT" w:eastAsia="Calibri" w:hAnsi="Gill Sans MT" w:cs="Arial"/>
          <w:iCs/>
          <w:lang w:val="en-GB"/>
        </w:rPr>
        <w:t xml:space="preserve">original </w:t>
      </w:r>
      <w:r w:rsidRPr="00D443CB">
        <w:rPr>
          <w:rFonts w:ascii="Gill Sans MT" w:eastAsia="Calibri" w:hAnsi="Gill Sans MT" w:cs="Arial"/>
          <w:iCs/>
          <w:lang w:val="en-GB"/>
        </w:rPr>
        <w:t>TB-Net Tool and Manual dev</w:t>
      </w:r>
      <w:r w:rsidR="00A11805" w:rsidRPr="00D443CB">
        <w:rPr>
          <w:rFonts w:ascii="Gill Sans MT" w:eastAsia="Calibri" w:hAnsi="Gill Sans MT" w:cs="Arial"/>
          <w:iCs/>
          <w:lang w:val="en-GB"/>
        </w:rPr>
        <w:t xml:space="preserve">eloped </w:t>
      </w:r>
      <w:r w:rsidRPr="00D443CB">
        <w:rPr>
          <w:rFonts w:ascii="Gill Sans MT" w:eastAsia="Calibri" w:hAnsi="Gill Sans MT" w:cs="Arial"/>
          <w:iCs/>
          <w:lang w:val="en-GB"/>
        </w:rPr>
        <w:t>by Thomas Shinnick, Heidi Albert (FIND) and Amy Piatek (USAID)</w:t>
      </w:r>
      <w:r w:rsidR="00A11805" w:rsidRPr="00D443CB">
        <w:rPr>
          <w:rFonts w:ascii="Gill Sans MT" w:eastAsia="Calibri" w:hAnsi="Gill Sans MT" w:cs="Arial"/>
          <w:iCs/>
          <w:lang w:val="en-GB"/>
        </w:rPr>
        <w:t xml:space="preserve"> following piloting of the tool during assessments of the TB diagnostic networks in India and Uganda</w:t>
      </w:r>
      <w:r w:rsidRPr="00D443CB">
        <w:rPr>
          <w:rFonts w:ascii="Gill Sans MT" w:eastAsia="Calibri" w:hAnsi="Gill Sans MT" w:cs="Arial"/>
          <w:iCs/>
          <w:lang w:val="en-GB"/>
        </w:rPr>
        <w:t>.</w:t>
      </w:r>
      <w:r w:rsidR="00A11805" w:rsidRPr="00D443CB">
        <w:rPr>
          <w:rFonts w:ascii="Gill Sans MT" w:eastAsia="Calibri" w:hAnsi="Gill Sans MT" w:cs="Arial"/>
          <w:iCs/>
          <w:lang w:val="en-GB"/>
        </w:rPr>
        <w:t xml:space="preserve"> Technical input and critical review were provide</w:t>
      </w:r>
      <w:r w:rsidR="00ED5A7F" w:rsidRPr="00D443CB">
        <w:rPr>
          <w:rFonts w:ascii="Gill Sans MT" w:eastAsia="Calibri" w:hAnsi="Gill Sans MT" w:cs="Arial"/>
          <w:iCs/>
          <w:lang w:val="en-GB"/>
        </w:rPr>
        <w:t>d</w:t>
      </w:r>
      <w:r w:rsidR="00A11805" w:rsidRPr="00D443CB">
        <w:rPr>
          <w:rFonts w:ascii="Gill Sans MT" w:eastAsia="Calibri" w:hAnsi="Gill Sans MT" w:cs="Arial"/>
          <w:iCs/>
          <w:lang w:val="en-GB"/>
        </w:rPr>
        <w:t xml:space="preserve"> by the many expert</w:t>
      </w:r>
      <w:r w:rsidR="001F789F" w:rsidRPr="00D443CB">
        <w:rPr>
          <w:rFonts w:ascii="Gill Sans MT" w:eastAsia="Calibri" w:hAnsi="Gill Sans MT" w:cs="Arial"/>
          <w:iCs/>
          <w:lang w:val="en-GB"/>
        </w:rPr>
        <w:t>s</w:t>
      </w:r>
      <w:r w:rsidR="00A11805" w:rsidRPr="00D443CB">
        <w:rPr>
          <w:rFonts w:ascii="Gill Sans MT" w:eastAsia="Calibri" w:hAnsi="Gill Sans MT" w:cs="Arial"/>
          <w:iCs/>
          <w:lang w:val="en-GB"/>
        </w:rPr>
        <w:t xml:space="preserve"> who participated in the assessments in India and Uganda.</w:t>
      </w:r>
    </w:p>
    <w:p w14:paraId="5DAF479B" w14:textId="77777777" w:rsidR="00942603" w:rsidRPr="00D443CB" w:rsidRDefault="00942603" w:rsidP="00AD54A8">
      <w:pPr>
        <w:widowControl w:val="0"/>
        <w:spacing w:after="0" w:line="240" w:lineRule="auto"/>
        <w:jc w:val="both"/>
        <w:rPr>
          <w:rFonts w:ascii="Gill Sans MT" w:eastAsia="Calibri" w:hAnsi="Gill Sans MT" w:cs="Arial"/>
          <w:iCs/>
          <w:lang w:val="en-GB"/>
        </w:rPr>
      </w:pPr>
    </w:p>
    <w:p w14:paraId="14F7B226" w14:textId="77777777" w:rsidR="00995275" w:rsidRPr="00D443CB" w:rsidRDefault="00995275" w:rsidP="00AD54A8">
      <w:pPr>
        <w:spacing w:after="0" w:line="240" w:lineRule="auto"/>
        <w:jc w:val="both"/>
        <w:rPr>
          <w:rFonts w:ascii="Gill Sans MT" w:eastAsia="Calibri" w:hAnsi="Gill Sans MT" w:cs="Calibri"/>
          <w:iCs/>
          <w:lang w:val="en-GB"/>
        </w:rPr>
      </w:pPr>
      <w:r w:rsidRPr="00D443CB">
        <w:rPr>
          <w:rFonts w:ascii="Gill Sans MT" w:eastAsia="Calibri" w:hAnsi="Gill Sans MT" w:cs="Calibri"/>
          <w:iCs/>
          <w:lang w:val="en-GB"/>
        </w:rPr>
        <w:t>All reasonable precautions have been taken by the authors to verify the information contained in this publication. However, the published material is being distributed without warranty of any kind, either expressed or implied. The responsibility for the interpretation and use of the material lies with the reader. In no event shall the authors be liable for damages arising from its use.</w:t>
      </w:r>
    </w:p>
    <w:p w14:paraId="52DEFE54" w14:textId="77777777" w:rsidR="00995275" w:rsidRPr="00D443CB" w:rsidRDefault="00995275" w:rsidP="00AD54A8">
      <w:pPr>
        <w:widowControl w:val="0"/>
        <w:spacing w:after="0" w:line="240" w:lineRule="auto"/>
        <w:jc w:val="both"/>
        <w:rPr>
          <w:rFonts w:ascii="Gill Sans MT" w:eastAsia="Calibri" w:hAnsi="Gill Sans MT" w:cs="Arial"/>
          <w:iCs/>
          <w:lang w:val="en-GB"/>
        </w:rPr>
      </w:pPr>
    </w:p>
    <w:p w14:paraId="4FCFD17A" w14:textId="6F8DC10E" w:rsidR="00995275" w:rsidRPr="00D443CB" w:rsidRDefault="00995275" w:rsidP="00AD54A8">
      <w:pPr>
        <w:widowControl w:val="0"/>
        <w:spacing w:after="0" w:line="240" w:lineRule="auto"/>
        <w:jc w:val="both"/>
        <w:rPr>
          <w:rFonts w:ascii="Gill Sans MT" w:eastAsia="Calibri" w:hAnsi="Gill Sans MT" w:cs="Arial"/>
          <w:iCs/>
          <w:lang w:val="en-GB"/>
        </w:rPr>
      </w:pPr>
      <w:r w:rsidRPr="00D443CB">
        <w:rPr>
          <w:rFonts w:ascii="Gill Sans MT" w:eastAsia="Calibri" w:hAnsi="Gill Sans MT" w:cs="Arial"/>
          <w:iCs/>
          <w:lang w:val="en-GB"/>
        </w:rPr>
        <w:t>Development and publication of this document were made possible with financial support from the United States Agency for International Development.</w:t>
      </w:r>
    </w:p>
    <w:p w14:paraId="21FFBD50" w14:textId="77777777" w:rsidR="00F30752" w:rsidRPr="00D443CB" w:rsidRDefault="00F30752" w:rsidP="00AD54A8">
      <w:pPr>
        <w:widowControl w:val="0"/>
        <w:autoSpaceDE w:val="0"/>
        <w:autoSpaceDN w:val="0"/>
        <w:adjustRightInd w:val="0"/>
        <w:spacing w:after="0" w:line="240" w:lineRule="auto"/>
        <w:jc w:val="both"/>
        <w:rPr>
          <w:rFonts w:ascii="Gill Sans MT" w:hAnsi="Gill Sans MT" w:cs="Calibri"/>
          <w:sz w:val="24"/>
          <w:szCs w:val="24"/>
        </w:rPr>
      </w:pPr>
    </w:p>
    <w:p w14:paraId="2D5034F0" w14:textId="03845E24" w:rsidR="00995275" w:rsidRPr="00D443CB" w:rsidRDefault="00995275">
      <w:pPr>
        <w:spacing w:after="0" w:line="240" w:lineRule="auto"/>
        <w:jc w:val="both"/>
        <w:outlineLvl w:val="1"/>
        <w:rPr>
          <w:rFonts w:ascii="Gill Sans MT" w:hAnsi="Gill Sans MT" w:cstheme="minorHAnsi"/>
          <w:bCs/>
          <w:color w:val="000000" w:themeColor="text1"/>
          <w:sz w:val="28"/>
          <w:szCs w:val="28"/>
        </w:rPr>
      </w:pPr>
      <w:bookmarkStart w:id="5" w:name="_Toc474746415"/>
      <w:bookmarkStart w:id="6" w:name="_Toc478373113"/>
      <w:bookmarkStart w:id="7" w:name="_Toc37317813"/>
      <w:r w:rsidRPr="00D443CB">
        <w:rPr>
          <w:rFonts w:ascii="Gill Sans MT" w:hAnsi="Gill Sans MT" w:cstheme="minorHAnsi"/>
          <w:bCs/>
          <w:color w:val="000000" w:themeColor="text1"/>
          <w:sz w:val="28"/>
          <w:szCs w:val="28"/>
        </w:rPr>
        <w:t xml:space="preserve">About this </w:t>
      </w:r>
      <w:r w:rsidR="000921A0" w:rsidRPr="00D443CB">
        <w:rPr>
          <w:rFonts w:ascii="Gill Sans MT" w:hAnsi="Gill Sans MT" w:cstheme="minorHAnsi"/>
          <w:bCs/>
          <w:color w:val="000000" w:themeColor="text1"/>
          <w:sz w:val="28"/>
          <w:szCs w:val="28"/>
        </w:rPr>
        <w:t>manual</w:t>
      </w:r>
      <w:bookmarkEnd w:id="5"/>
      <w:bookmarkEnd w:id="6"/>
      <w:bookmarkEnd w:id="7"/>
    </w:p>
    <w:p w14:paraId="2BBAE6A4" w14:textId="77777777" w:rsidR="006D7F23" w:rsidRPr="00D443CB" w:rsidRDefault="006D7F23">
      <w:pPr>
        <w:spacing w:after="0" w:line="240" w:lineRule="auto"/>
        <w:jc w:val="both"/>
        <w:rPr>
          <w:rFonts w:ascii="Gill Sans MT" w:eastAsia="GillSans" w:hAnsi="Gill Sans MT" w:cstheme="minorHAnsi"/>
          <w:lang w:val="en-GB"/>
        </w:rPr>
      </w:pPr>
    </w:p>
    <w:p w14:paraId="77AC1720" w14:textId="0A11D76F" w:rsidR="00995275" w:rsidRPr="00D443CB" w:rsidRDefault="00995275" w:rsidP="00A11805">
      <w:pPr>
        <w:spacing w:after="0" w:line="240" w:lineRule="auto"/>
        <w:jc w:val="both"/>
        <w:rPr>
          <w:rFonts w:ascii="Gill Sans MT" w:eastAsia="GillSans" w:hAnsi="Gill Sans MT" w:cstheme="minorHAnsi"/>
          <w:lang w:val="en-GB"/>
        </w:rPr>
      </w:pPr>
      <w:r w:rsidRPr="00D443CB">
        <w:rPr>
          <w:rFonts w:ascii="Gill Sans MT" w:eastAsia="GillSans" w:hAnsi="Gill Sans MT" w:cstheme="minorHAnsi"/>
          <w:lang w:val="en-GB"/>
        </w:rPr>
        <w:t>Th</w:t>
      </w:r>
      <w:r w:rsidR="006D7F23" w:rsidRPr="00D443CB">
        <w:rPr>
          <w:rFonts w:ascii="Gill Sans MT" w:eastAsia="GillSans" w:hAnsi="Gill Sans MT" w:cstheme="minorHAnsi"/>
          <w:lang w:val="en-GB"/>
        </w:rPr>
        <w:t>e</w:t>
      </w:r>
      <w:r w:rsidRPr="00D443CB">
        <w:rPr>
          <w:rFonts w:ascii="Gill Sans MT" w:eastAsia="GillSans" w:hAnsi="Gill Sans MT" w:cstheme="minorHAnsi"/>
          <w:lang w:val="en-GB"/>
        </w:rPr>
        <w:t xml:space="preserve"> </w:t>
      </w:r>
      <w:r w:rsidR="000921A0" w:rsidRPr="00D443CB">
        <w:rPr>
          <w:rFonts w:ascii="Gill Sans MT" w:eastAsia="GillSans" w:hAnsi="Gill Sans MT" w:cstheme="minorHAnsi"/>
          <w:lang w:val="en-GB"/>
        </w:rPr>
        <w:t>manual</w:t>
      </w:r>
      <w:r w:rsidRPr="00D443CB">
        <w:rPr>
          <w:rFonts w:ascii="Gill Sans MT" w:eastAsia="GillSans" w:hAnsi="Gill Sans MT" w:cstheme="minorHAnsi"/>
          <w:lang w:val="en-GB"/>
        </w:rPr>
        <w:t xml:space="preserve"> provides practical guidance </w:t>
      </w:r>
      <w:r w:rsidR="000921A0" w:rsidRPr="00D443CB">
        <w:rPr>
          <w:rFonts w:ascii="Gill Sans MT" w:eastAsia="GillSans" w:hAnsi="Gill Sans MT" w:cstheme="minorHAnsi"/>
          <w:lang w:val="en-GB"/>
        </w:rPr>
        <w:t xml:space="preserve">and tools </w:t>
      </w:r>
      <w:r w:rsidRPr="00D443CB">
        <w:rPr>
          <w:rFonts w:ascii="Gill Sans MT" w:eastAsia="GillSans" w:hAnsi="Gill Sans MT" w:cstheme="minorHAnsi"/>
          <w:lang w:val="en-GB"/>
        </w:rPr>
        <w:t>to plan and implement a</w:t>
      </w:r>
      <w:r w:rsidR="000921A0" w:rsidRPr="00D443CB">
        <w:rPr>
          <w:rFonts w:ascii="Gill Sans MT" w:eastAsia="GillSans" w:hAnsi="Gill Sans MT" w:cstheme="minorHAnsi"/>
          <w:lang w:val="en-GB"/>
        </w:rPr>
        <w:t>n assessment of a country’</w:t>
      </w:r>
      <w:r w:rsidR="006D7F23" w:rsidRPr="00D443CB">
        <w:rPr>
          <w:rFonts w:ascii="Gill Sans MT" w:eastAsia="GillSans" w:hAnsi="Gill Sans MT" w:cstheme="minorHAnsi"/>
          <w:lang w:val="en-GB"/>
        </w:rPr>
        <w:t>s</w:t>
      </w:r>
      <w:r w:rsidR="000921A0" w:rsidRPr="00D443CB">
        <w:rPr>
          <w:rFonts w:ascii="Gill Sans MT" w:eastAsia="GillSans" w:hAnsi="Gill Sans MT" w:cstheme="minorHAnsi"/>
          <w:lang w:val="en-GB"/>
        </w:rPr>
        <w:t xml:space="preserve"> </w:t>
      </w:r>
      <w:r w:rsidR="00580F26" w:rsidRPr="00D443CB">
        <w:rPr>
          <w:rFonts w:ascii="Gill Sans MT" w:eastAsia="GillSans" w:hAnsi="Gill Sans MT" w:cstheme="minorHAnsi"/>
          <w:lang w:val="en-GB"/>
        </w:rPr>
        <w:t>T</w:t>
      </w:r>
      <w:r w:rsidR="000921A0" w:rsidRPr="00D443CB">
        <w:rPr>
          <w:rFonts w:ascii="Gill Sans MT" w:eastAsia="GillSans" w:hAnsi="Gill Sans MT" w:cstheme="minorHAnsi"/>
          <w:lang w:val="en-GB"/>
        </w:rPr>
        <w:t>B diagnostic network</w:t>
      </w:r>
      <w:r w:rsidRPr="00D443CB">
        <w:rPr>
          <w:rFonts w:ascii="Gill Sans MT" w:eastAsia="GillSans" w:hAnsi="Gill Sans MT" w:cstheme="minorHAnsi"/>
          <w:lang w:val="en-GB"/>
        </w:rPr>
        <w:t>.</w:t>
      </w:r>
      <w:r w:rsidR="0063696A" w:rsidRPr="00D443CB">
        <w:rPr>
          <w:rFonts w:ascii="Gill Sans MT" w:eastAsia="GillSans" w:hAnsi="Gill Sans MT" w:cstheme="minorHAnsi"/>
          <w:lang w:val="en-GB"/>
        </w:rPr>
        <w:t xml:space="preserve"> </w:t>
      </w:r>
      <w:r w:rsidRPr="00D443CB">
        <w:rPr>
          <w:rFonts w:ascii="Gill Sans MT" w:eastAsia="GillSans" w:hAnsi="Gill Sans MT" w:cstheme="minorHAnsi"/>
          <w:lang w:val="en-GB"/>
        </w:rPr>
        <w:t>This document includes</w:t>
      </w:r>
      <w:r w:rsidRPr="00D443CB">
        <w:rPr>
          <w:rFonts w:ascii="Gill Sans MT" w:eastAsia="GillSans" w:hAnsi="Gill Sans MT" w:cstheme="minorHAnsi"/>
          <w:szCs w:val="24"/>
          <w:lang w:val="en-GB"/>
        </w:rPr>
        <w:t>:</w:t>
      </w:r>
      <w:r w:rsidRPr="00D443CB">
        <w:rPr>
          <w:rFonts w:ascii="Gill Sans MT" w:eastAsia="GillSans" w:hAnsi="Gill Sans MT" w:cstheme="minorHAnsi"/>
          <w:lang w:val="en-GB"/>
        </w:rPr>
        <w:t xml:space="preserve"> </w:t>
      </w:r>
    </w:p>
    <w:p w14:paraId="46227B2E" w14:textId="5ABA775C" w:rsidR="0063696A" w:rsidRPr="00D443CB" w:rsidRDefault="0063696A" w:rsidP="00FC763C">
      <w:pPr>
        <w:numPr>
          <w:ilvl w:val="0"/>
          <w:numId w:val="25"/>
        </w:numPr>
        <w:spacing w:after="0" w:line="240" w:lineRule="auto"/>
        <w:ind w:left="720"/>
        <w:contextualSpacing/>
        <w:jc w:val="both"/>
        <w:rPr>
          <w:rFonts w:ascii="Gill Sans MT" w:eastAsia="GillSans" w:hAnsi="Gill Sans MT" w:cstheme="minorHAnsi"/>
          <w:lang w:val="en-GB"/>
        </w:rPr>
      </w:pPr>
      <w:r w:rsidRPr="00D443CB">
        <w:rPr>
          <w:rFonts w:ascii="Gill Sans MT" w:eastAsia="GillSans" w:hAnsi="Gill Sans MT" w:cstheme="minorHAnsi"/>
          <w:lang w:val="en-GB"/>
        </w:rPr>
        <w:t xml:space="preserve">an overview of the </w:t>
      </w:r>
      <w:r w:rsidR="00580F26" w:rsidRPr="00D443CB">
        <w:rPr>
          <w:rFonts w:ascii="Gill Sans MT" w:eastAsia="GillSans" w:hAnsi="Gill Sans MT" w:cstheme="minorHAnsi"/>
          <w:lang w:val="en-GB"/>
        </w:rPr>
        <w:t xml:space="preserve">TB </w:t>
      </w:r>
      <w:r w:rsidRPr="00D443CB">
        <w:rPr>
          <w:rFonts w:ascii="Gill Sans MT" w:eastAsia="GillSans" w:hAnsi="Gill Sans MT" w:cstheme="minorHAnsi"/>
          <w:lang w:val="en-GB"/>
        </w:rPr>
        <w:t xml:space="preserve">diagnostic cascade, </w:t>
      </w:r>
      <w:r w:rsidR="00F20707" w:rsidRPr="00D443CB">
        <w:rPr>
          <w:rFonts w:ascii="Gill Sans MT" w:eastAsia="GillSans" w:hAnsi="Gill Sans MT" w:cstheme="minorHAnsi"/>
          <w:lang w:val="en-GB"/>
        </w:rPr>
        <w:t>the</w:t>
      </w:r>
      <w:r w:rsidRPr="00D443CB">
        <w:rPr>
          <w:rFonts w:ascii="Gill Sans MT" w:eastAsia="GillSans" w:hAnsi="Gill Sans MT" w:cstheme="minorHAnsi"/>
          <w:lang w:val="en-GB"/>
        </w:rPr>
        <w:t xml:space="preserve"> assessment</w:t>
      </w:r>
      <w:r w:rsidR="00C73217" w:rsidRPr="00D443CB">
        <w:rPr>
          <w:rFonts w:ascii="Gill Sans MT" w:eastAsia="GillSans" w:hAnsi="Gill Sans MT" w:cstheme="minorHAnsi"/>
          <w:lang w:val="en-GB"/>
        </w:rPr>
        <w:t xml:space="preserve"> tool and </w:t>
      </w:r>
      <w:r w:rsidR="00580F26" w:rsidRPr="00D443CB">
        <w:rPr>
          <w:rFonts w:ascii="Gill Sans MT" w:eastAsia="GillSans" w:hAnsi="Gill Sans MT" w:cstheme="minorHAnsi"/>
          <w:lang w:val="en-GB"/>
        </w:rPr>
        <w:t xml:space="preserve">assessment </w:t>
      </w:r>
      <w:r w:rsidRPr="00D443CB">
        <w:rPr>
          <w:rFonts w:ascii="Gill Sans MT" w:eastAsia="GillSans" w:hAnsi="Gill Sans MT" w:cstheme="minorHAnsi"/>
          <w:lang w:val="en-GB"/>
        </w:rPr>
        <w:t>process</w:t>
      </w:r>
    </w:p>
    <w:p w14:paraId="414E7FCB" w14:textId="2A5DCC28" w:rsidR="00995275" w:rsidRPr="00D443CB" w:rsidRDefault="0063696A" w:rsidP="00FC763C">
      <w:pPr>
        <w:numPr>
          <w:ilvl w:val="0"/>
          <w:numId w:val="25"/>
        </w:numPr>
        <w:spacing w:after="0" w:line="240" w:lineRule="auto"/>
        <w:ind w:left="720"/>
        <w:contextualSpacing/>
        <w:jc w:val="both"/>
        <w:rPr>
          <w:rFonts w:ascii="Gill Sans MT" w:eastAsia="GillSans" w:hAnsi="Gill Sans MT" w:cstheme="minorHAnsi"/>
          <w:lang w:val="en-GB"/>
        </w:rPr>
      </w:pPr>
      <w:r w:rsidRPr="00D443CB">
        <w:rPr>
          <w:rFonts w:ascii="Gill Sans MT" w:eastAsia="GillSans" w:hAnsi="Gill Sans MT" w:cstheme="minorHAnsi"/>
          <w:lang w:val="en-GB"/>
        </w:rPr>
        <w:t>advice on organizing an assessment team and scheduling activities</w:t>
      </w:r>
    </w:p>
    <w:p w14:paraId="7B896ECD" w14:textId="7B188BB6" w:rsidR="00995275" w:rsidRPr="00D443CB" w:rsidRDefault="0063696A" w:rsidP="00FC763C">
      <w:pPr>
        <w:numPr>
          <w:ilvl w:val="0"/>
          <w:numId w:val="25"/>
        </w:numPr>
        <w:spacing w:after="0" w:line="240" w:lineRule="auto"/>
        <w:ind w:left="720"/>
        <w:contextualSpacing/>
        <w:jc w:val="both"/>
        <w:rPr>
          <w:rFonts w:ascii="Gill Sans MT" w:eastAsia="GillSans" w:hAnsi="Gill Sans MT" w:cstheme="minorHAnsi"/>
          <w:lang w:val="en-GB"/>
        </w:rPr>
      </w:pPr>
      <w:r w:rsidRPr="00D443CB">
        <w:rPr>
          <w:rFonts w:ascii="Gill Sans MT" w:eastAsia="GillSans" w:hAnsi="Gill Sans MT" w:cstheme="minorHAnsi"/>
          <w:lang w:val="en-GB"/>
        </w:rPr>
        <w:t>checklists and questionnaires to assess the overall maturity of the network</w:t>
      </w:r>
      <w:r w:rsidR="00684696" w:rsidRPr="00D443CB">
        <w:rPr>
          <w:rFonts w:ascii="Gill Sans MT" w:eastAsia="GillSans" w:hAnsi="Gill Sans MT" w:cstheme="minorHAnsi"/>
          <w:lang w:val="en-GB"/>
        </w:rPr>
        <w:t>.</w:t>
      </w:r>
    </w:p>
    <w:p w14:paraId="46C348AD" w14:textId="77777777" w:rsidR="00995275" w:rsidRPr="00D443CB" w:rsidRDefault="00995275" w:rsidP="00A11805">
      <w:pPr>
        <w:spacing w:after="0" w:line="240" w:lineRule="auto"/>
        <w:jc w:val="both"/>
        <w:rPr>
          <w:rFonts w:ascii="Gill Sans MT" w:eastAsia="GillSans" w:hAnsi="Gill Sans MT" w:cstheme="minorHAnsi"/>
          <w:lang w:val="en-GB"/>
        </w:rPr>
      </w:pPr>
    </w:p>
    <w:p w14:paraId="60C4F40A" w14:textId="42D53775" w:rsidR="000921A0" w:rsidRPr="00D443CB" w:rsidRDefault="000921A0" w:rsidP="00A11805">
      <w:pPr>
        <w:spacing w:after="0" w:line="240" w:lineRule="auto"/>
        <w:jc w:val="both"/>
        <w:rPr>
          <w:rFonts w:ascii="Gill Sans MT" w:eastAsia="GillSans" w:hAnsi="Gill Sans MT" w:cstheme="minorHAnsi"/>
          <w:lang w:val="en-GB"/>
        </w:rPr>
      </w:pPr>
      <w:r w:rsidRPr="00D443CB">
        <w:rPr>
          <w:rFonts w:ascii="Gill Sans MT" w:eastAsia="GillSans" w:hAnsi="Gill Sans MT" w:cstheme="minorHAnsi"/>
          <w:lang w:val="en-GB"/>
        </w:rPr>
        <w:t xml:space="preserve">The </w:t>
      </w:r>
      <w:r w:rsidR="005805FA" w:rsidRPr="00D443CB">
        <w:rPr>
          <w:rFonts w:ascii="Gill Sans MT" w:eastAsia="GillSans" w:hAnsi="Gill Sans MT" w:cstheme="minorHAnsi"/>
          <w:lang w:val="en-GB"/>
        </w:rPr>
        <w:t xml:space="preserve">TB-Net </w:t>
      </w:r>
      <w:r w:rsidRPr="00D443CB">
        <w:rPr>
          <w:rFonts w:ascii="Gill Sans MT" w:eastAsia="GillSans" w:hAnsi="Gill Sans MT" w:cstheme="minorHAnsi"/>
          <w:lang w:val="en-GB"/>
        </w:rPr>
        <w:t xml:space="preserve">Tool is designed to be suitable for use in any country, however, it may be necessary to slightly modify or customize the </w:t>
      </w:r>
      <w:r w:rsidR="001D7D80" w:rsidRPr="00D443CB">
        <w:rPr>
          <w:rFonts w:ascii="Gill Sans MT" w:eastAsia="GillSans" w:hAnsi="Gill Sans MT" w:cstheme="minorHAnsi"/>
          <w:lang w:val="en-GB"/>
        </w:rPr>
        <w:t>TB</w:t>
      </w:r>
      <w:r w:rsidR="005805FA" w:rsidRPr="00D443CB">
        <w:rPr>
          <w:rFonts w:ascii="Gill Sans MT" w:eastAsia="GillSans" w:hAnsi="Gill Sans MT" w:cstheme="minorHAnsi"/>
          <w:lang w:val="en-GB"/>
        </w:rPr>
        <w:t xml:space="preserve">-Net </w:t>
      </w:r>
      <w:r w:rsidRPr="00D443CB">
        <w:rPr>
          <w:rFonts w:ascii="Gill Sans MT" w:eastAsia="GillSans" w:hAnsi="Gill Sans MT" w:cstheme="minorHAnsi"/>
          <w:lang w:val="en-GB"/>
        </w:rPr>
        <w:t>Tool for some countries to meet the local context of a country’s health system.</w:t>
      </w:r>
      <w:r w:rsidR="006D7F23" w:rsidRPr="00D443CB">
        <w:rPr>
          <w:rFonts w:ascii="Gill Sans MT" w:eastAsia="GillSans" w:hAnsi="Gill Sans MT" w:cstheme="minorHAnsi"/>
          <w:lang w:val="en-GB"/>
        </w:rPr>
        <w:t xml:space="preserve"> </w:t>
      </w:r>
    </w:p>
    <w:p w14:paraId="4CC7F14F" w14:textId="299DF051" w:rsidR="00995275" w:rsidRPr="00D443CB" w:rsidRDefault="00995275" w:rsidP="007B4F1B">
      <w:pPr>
        <w:spacing w:after="0" w:line="240" w:lineRule="auto"/>
        <w:rPr>
          <w:rFonts w:ascii="Gill Sans MT" w:eastAsia="GillSans" w:hAnsi="Gill Sans MT" w:cstheme="minorHAnsi"/>
          <w:szCs w:val="24"/>
          <w:highlight w:val="yellow"/>
          <w:lang w:val="en-GB"/>
        </w:rPr>
      </w:pPr>
      <w:bookmarkStart w:id="8" w:name="_Toc429405377"/>
    </w:p>
    <w:p w14:paraId="2D814316" w14:textId="137F60DD" w:rsidR="00995275" w:rsidRPr="00D443CB" w:rsidRDefault="00995275" w:rsidP="007B4F1B">
      <w:pPr>
        <w:spacing w:after="0" w:line="240" w:lineRule="auto"/>
        <w:outlineLvl w:val="1"/>
        <w:rPr>
          <w:rFonts w:ascii="Gill Sans MT" w:hAnsi="Gill Sans MT" w:cstheme="minorHAnsi"/>
          <w:bCs/>
          <w:color w:val="000000" w:themeColor="text1"/>
          <w:sz w:val="28"/>
          <w:szCs w:val="32"/>
        </w:rPr>
      </w:pPr>
      <w:bookmarkStart w:id="9" w:name="_Toc440285235"/>
      <w:bookmarkStart w:id="10" w:name="_Toc474746416"/>
      <w:bookmarkStart w:id="11" w:name="_Toc478373114"/>
      <w:bookmarkStart w:id="12" w:name="_Toc37317814"/>
      <w:r w:rsidRPr="00D443CB">
        <w:rPr>
          <w:rFonts w:ascii="Gill Sans MT" w:hAnsi="Gill Sans MT" w:cstheme="minorHAnsi"/>
          <w:bCs/>
          <w:color w:val="000000" w:themeColor="text1"/>
          <w:sz w:val="28"/>
          <w:szCs w:val="32"/>
        </w:rPr>
        <w:t>Target audience</w:t>
      </w:r>
      <w:bookmarkEnd w:id="8"/>
      <w:bookmarkEnd w:id="9"/>
      <w:bookmarkEnd w:id="10"/>
      <w:bookmarkEnd w:id="11"/>
      <w:bookmarkEnd w:id="12"/>
    </w:p>
    <w:p w14:paraId="18B3C47F" w14:textId="77777777" w:rsidR="00714FA9" w:rsidRPr="00D443CB" w:rsidRDefault="00714FA9" w:rsidP="007B4F1B">
      <w:pPr>
        <w:spacing w:after="0" w:line="240" w:lineRule="auto"/>
        <w:outlineLvl w:val="1"/>
        <w:rPr>
          <w:rFonts w:ascii="Gill Sans MT" w:hAnsi="Gill Sans MT" w:cstheme="minorHAnsi"/>
          <w:bCs/>
          <w:color w:val="000000" w:themeColor="text1"/>
          <w:sz w:val="28"/>
          <w:szCs w:val="32"/>
        </w:rPr>
      </w:pPr>
    </w:p>
    <w:p w14:paraId="06F87E23" w14:textId="3B6DC261" w:rsidR="006D7F23" w:rsidRPr="00D443CB" w:rsidRDefault="00995275" w:rsidP="00AD54A8">
      <w:pPr>
        <w:spacing w:after="0" w:line="240" w:lineRule="auto"/>
        <w:jc w:val="both"/>
        <w:rPr>
          <w:rFonts w:ascii="Gill Sans MT" w:eastAsia="GillSans" w:hAnsi="Gill Sans MT" w:cstheme="minorHAnsi"/>
          <w:lang w:val="en-GB"/>
        </w:rPr>
      </w:pPr>
      <w:r w:rsidRPr="00D443CB">
        <w:rPr>
          <w:rFonts w:ascii="Gill Sans MT" w:eastAsia="GillSans" w:hAnsi="Gill Sans MT" w:cstheme="minorHAnsi"/>
          <w:lang w:val="en-GB"/>
        </w:rPr>
        <w:t xml:space="preserve">This guide is intended to inform Ministry of Health officials, </w:t>
      </w:r>
      <w:r w:rsidR="006D7F23" w:rsidRPr="00D443CB">
        <w:rPr>
          <w:rFonts w:ascii="Gill Sans MT" w:eastAsia="GillSans" w:hAnsi="Gill Sans MT" w:cstheme="minorHAnsi"/>
          <w:lang w:val="en-GB"/>
        </w:rPr>
        <w:t>national TB programs</w:t>
      </w:r>
      <w:r w:rsidR="007B4F1B" w:rsidRPr="00D443CB">
        <w:rPr>
          <w:rFonts w:ascii="Gill Sans MT" w:eastAsia="GillSans" w:hAnsi="Gill Sans MT" w:cstheme="minorHAnsi"/>
          <w:lang w:val="en-GB"/>
        </w:rPr>
        <w:t xml:space="preserve"> </w:t>
      </w:r>
      <w:r w:rsidR="006D7F23" w:rsidRPr="00D443CB">
        <w:rPr>
          <w:rFonts w:ascii="Gill Sans MT" w:eastAsia="GillSans" w:hAnsi="Gill Sans MT" w:cstheme="minorHAnsi"/>
          <w:lang w:val="en-GB"/>
        </w:rPr>
        <w:t>and laborator</w:t>
      </w:r>
      <w:r w:rsidR="007B4F1B" w:rsidRPr="00D443CB">
        <w:rPr>
          <w:rFonts w:ascii="Gill Sans MT" w:eastAsia="GillSans" w:hAnsi="Gill Sans MT" w:cstheme="minorHAnsi"/>
          <w:lang w:val="en-GB"/>
        </w:rPr>
        <w:t>y staff,</w:t>
      </w:r>
      <w:r w:rsidR="006D7F23" w:rsidRPr="00D443CB">
        <w:rPr>
          <w:rFonts w:ascii="Gill Sans MT" w:eastAsia="GillSans" w:hAnsi="Gill Sans MT" w:cstheme="minorHAnsi"/>
          <w:lang w:val="en-GB"/>
        </w:rPr>
        <w:t xml:space="preserve"> </w:t>
      </w:r>
      <w:r w:rsidRPr="00D443CB">
        <w:rPr>
          <w:rFonts w:ascii="Gill Sans MT" w:eastAsia="GillSans" w:hAnsi="Gill Sans MT" w:cstheme="minorHAnsi"/>
          <w:lang w:val="en-GB"/>
        </w:rPr>
        <w:t xml:space="preserve">donors, implementing partners, </w:t>
      </w:r>
      <w:r w:rsidR="007B4F1B" w:rsidRPr="00D443CB">
        <w:rPr>
          <w:rFonts w:ascii="Gill Sans MT" w:eastAsia="GillSans" w:hAnsi="Gill Sans MT" w:cstheme="minorHAnsi"/>
          <w:lang w:val="en-GB"/>
        </w:rPr>
        <w:t>international agencies and organizations interested in assessing TB diagnostic networks</w:t>
      </w:r>
      <w:r w:rsidR="00F3151F" w:rsidRPr="00D443CB">
        <w:rPr>
          <w:rFonts w:ascii="Gill Sans MT" w:eastAsia="GillSans" w:hAnsi="Gill Sans MT" w:cstheme="minorHAnsi"/>
          <w:lang w:val="en-GB"/>
        </w:rPr>
        <w:t xml:space="preserve"> in low</w:t>
      </w:r>
      <w:r w:rsidR="00FC04C1" w:rsidRPr="00D443CB">
        <w:rPr>
          <w:rFonts w:ascii="Gill Sans MT" w:eastAsia="GillSans" w:hAnsi="Gill Sans MT" w:cstheme="minorHAnsi"/>
          <w:lang w:val="en-GB"/>
        </w:rPr>
        <w:t>-</w:t>
      </w:r>
      <w:r w:rsidR="00F3151F" w:rsidRPr="00D443CB">
        <w:rPr>
          <w:rFonts w:ascii="Gill Sans MT" w:eastAsia="GillSans" w:hAnsi="Gill Sans MT" w:cstheme="minorHAnsi"/>
          <w:lang w:val="en-GB"/>
        </w:rPr>
        <w:t xml:space="preserve"> and middle</w:t>
      </w:r>
      <w:r w:rsidR="00FC04C1" w:rsidRPr="00D443CB">
        <w:rPr>
          <w:rFonts w:ascii="Gill Sans MT" w:eastAsia="GillSans" w:hAnsi="Gill Sans MT" w:cstheme="minorHAnsi"/>
          <w:lang w:val="en-GB"/>
        </w:rPr>
        <w:t>-</w:t>
      </w:r>
      <w:r w:rsidR="00F3151F" w:rsidRPr="00D443CB">
        <w:rPr>
          <w:rFonts w:ascii="Gill Sans MT" w:eastAsia="GillSans" w:hAnsi="Gill Sans MT" w:cstheme="minorHAnsi"/>
          <w:lang w:val="en-GB"/>
        </w:rPr>
        <w:t>income countries</w:t>
      </w:r>
      <w:r w:rsidR="007B4F1B" w:rsidRPr="00D443CB">
        <w:rPr>
          <w:rFonts w:ascii="Gill Sans MT" w:eastAsia="GillSans" w:hAnsi="Gill Sans MT" w:cstheme="minorHAnsi"/>
          <w:lang w:val="en-GB"/>
        </w:rPr>
        <w:t xml:space="preserve">. </w:t>
      </w:r>
    </w:p>
    <w:p w14:paraId="0B60D912" w14:textId="77777777" w:rsidR="006D7F23" w:rsidRPr="00D443CB" w:rsidRDefault="006D7F23" w:rsidP="007B4F1B">
      <w:pPr>
        <w:spacing w:after="0" w:line="240" w:lineRule="auto"/>
        <w:rPr>
          <w:rFonts w:ascii="Gill Sans MT" w:eastAsia="GillSans" w:hAnsi="Gill Sans MT" w:cstheme="minorHAnsi"/>
          <w:lang w:val="en-GB"/>
        </w:rPr>
      </w:pPr>
    </w:p>
    <w:p w14:paraId="28AC23D4" w14:textId="77777777" w:rsidR="00FF1935" w:rsidRPr="00D443CB" w:rsidRDefault="00FF1935" w:rsidP="0063696A">
      <w:pPr>
        <w:widowControl w:val="0"/>
        <w:autoSpaceDE w:val="0"/>
        <w:autoSpaceDN w:val="0"/>
        <w:adjustRightInd w:val="0"/>
        <w:spacing w:after="0" w:line="240" w:lineRule="auto"/>
        <w:ind w:left="9249" w:right="-20"/>
        <w:rPr>
          <w:rFonts w:ascii="Gill Sans MT" w:hAnsi="Gill Sans MT"/>
          <w:sz w:val="24"/>
          <w:szCs w:val="24"/>
        </w:rPr>
        <w:sectPr w:rsidR="00FF1935" w:rsidRPr="00D443CB" w:rsidSect="008A7CD7">
          <w:headerReference w:type="default" r:id="rId11"/>
          <w:footerReference w:type="even" r:id="rId12"/>
          <w:footerReference w:type="default" r:id="rId13"/>
          <w:headerReference w:type="first" r:id="rId14"/>
          <w:footerReference w:type="first" r:id="rId15"/>
          <w:type w:val="continuous"/>
          <w:pgSz w:w="12240" w:h="15840"/>
          <w:pgMar w:top="1440" w:right="1080" w:bottom="1440" w:left="1080" w:header="720" w:footer="432" w:gutter="0"/>
          <w:cols w:space="720"/>
          <w:noEndnote/>
          <w:titlePg/>
          <w:docGrid w:linePitch="299"/>
        </w:sectPr>
      </w:pPr>
    </w:p>
    <w:p w14:paraId="2E8249B5" w14:textId="77777777" w:rsidR="008A7CD7" w:rsidRPr="00D443CB" w:rsidRDefault="008A7CD7" w:rsidP="003F0903">
      <w:pPr>
        <w:widowControl w:val="0"/>
        <w:autoSpaceDE w:val="0"/>
        <w:autoSpaceDN w:val="0"/>
        <w:adjustRightInd w:val="0"/>
        <w:spacing w:line="240" w:lineRule="auto"/>
        <w:ind w:right="-14"/>
        <w:outlineLvl w:val="0"/>
        <w:rPr>
          <w:rFonts w:ascii="Gill Sans MT" w:hAnsi="Gill Sans MT" w:cstheme="minorHAnsi"/>
          <w:sz w:val="28"/>
          <w:szCs w:val="32"/>
        </w:rPr>
      </w:pPr>
      <w:bookmarkStart w:id="13" w:name="_Toc37317815"/>
      <w:r w:rsidRPr="00D443CB">
        <w:rPr>
          <w:rFonts w:ascii="Gill Sans MT" w:hAnsi="Gill Sans MT" w:cstheme="minorHAnsi"/>
          <w:sz w:val="28"/>
          <w:szCs w:val="32"/>
        </w:rPr>
        <w:lastRenderedPageBreak/>
        <w:t>List of acronyms</w:t>
      </w:r>
      <w:bookmarkEnd w:id="13"/>
    </w:p>
    <w:tbl>
      <w:tblPr>
        <w:tblW w:w="0" w:type="auto"/>
        <w:tblInd w:w="198" w:type="dxa"/>
        <w:tblLook w:val="04A0" w:firstRow="1" w:lastRow="0" w:firstColumn="1" w:lastColumn="0" w:noHBand="0" w:noVBand="1"/>
      </w:tblPr>
      <w:tblGrid>
        <w:gridCol w:w="1440"/>
        <w:gridCol w:w="7830"/>
      </w:tblGrid>
      <w:tr w:rsidR="00A43030" w:rsidRPr="00D443CB" w14:paraId="2D1FF739" w14:textId="77777777" w:rsidTr="007E4DE5">
        <w:trPr>
          <w:trHeight w:val="251"/>
        </w:trPr>
        <w:tc>
          <w:tcPr>
            <w:tcW w:w="1440" w:type="dxa"/>
            <w:shd w:val="clear" w:color="auto" w:fill="auto"/>
            <w:vAlign w:val="center"/>
          </w:tcPr>
          <w:p w14:paraId="44641AAB" w14:textId="77777777" w:rsidR="00A43030" w:rsidRPr="00D443CB" w:rsidRDefault="00A43030" w:rsidP="003F0903">
            <w:pPr>
              <w:spacing w:after="0" w:line="240" w:lineRule="auto"/>
              <w:jc w:val="both"/>
              <w:rPr>
                <w:rFonts w:ascii="Gill Sans MT" w:hAnsi="Gill Sans MT" w:cstheme="minorHAnsi"/>
                <w:bCs/>
              </w:rPr>
            </w:pPr>
            <w:r w:rsidRPr="00D443CB">
              <w:rPr>
                <w:rFonts w:ascii="Gill Sans MT" w:hAnsi="Gill Sans MT" w:cstheme="minorHAnsi"/>
                <w:bCs/>
              </w:rPr>
              <w:t>AFB</w:t>
            </w:r>
          </w:p>
        </w:tc>
        <w:tc>
          <w:tcPr>
            <w:tcW w:w="7830" w:type="dxa"/>
            <w:shd w:val="clear" w:color="auto" w:fill="auto"/>
            <w:vAlign w:val="center"/>
          </w:tcPr>
          <w:p w14:paraId="4F5FE6A4" w14:textId="27AF10A1" w:rsidR="00A43030" w:rsidRPr="00D443CB" w:rsidRDefault="002C5006" w:rsidP="003F0903">
            <w:pPr>
              <w:spacing w:after="0" w:line="240" w:lineRule="auto"/>
              <w:jc w:val="both"/>
              <w:rPr>
                <w:rFonts w:ascii="Gill Sans MT" w:hAnsi="Gill Sans MT" w:cstheme="minorHAnsi"/>
                <w:bCs/>
              </w:rPr>
            </w:pPr>
            <w:r w:rsidRPr="00D443CB">
              <w:rPr>
                <w:rFonts w:ascii="Gill Sans MT" w:hAnsi="Gill Sans MT" w:cstheme="minorHAnsi"/>
                <w:bCs/>
              </w:rPr>
              <w:t>a</w:t>
            </w:r>
            <w:r w:rsidR="00A43030" w:rsidRPr="00D443CB">
              <w:rPr>
                <w:rFonts w:ascii="Gill Sans MT" w:hAnsi="Gill Sans MT" w:cstheme="minorHAnsi"/>
                <w:bCs/>
              </w:rPr>
              <w:t>cid</w:t>
            </w:r>
            <w:r w:rsidR="003C2D14" w:rsidRPr="00D443CB">
              <w:rPr>
                <w:rFonts w:ascii="Gill Sans MT" w:hAnsi="Gill Sans MT" w:cstheme="minorHAnsi"/>
                <w:bCs/>
              </w:rPr>
              <w:t>-</w:t>
            </w:r>
            <w:r w:rsidR="00DE51FE" w:rsidRPr="00D443CB">
              <w:rPr>
                <w:rFonts w:ascii="Gill Sans MT" w:hAnsi="Gill Sans MT" w:cstheme="minorHAnsi"/>
                <w:bCs/>
              </w:rPr>
              <w:t>f</w:t>
            </w:r>
            <w:r w:rsidR="00F04876" w:rsidRPr="00D443CB">
              <w:rPr>
                <w:rFonts w:ascii="Gill Sans MT" w:hAnsi="Gill Sans MT" w:cstheme="minorHAnsi"/>
                <w:bCs/>
              </w:rPr>
              <w:t xml:space="preserve">ast </w:t>
            </w:r>
            <w:r w:rsidR="00DE51FE" w:rsidRPr="00D443CB">
              <w:rPr>
                <w:rFonts w:ascii="Gill Sans MT" w:hAnsi="Gill Sans MT" w:cstheme="minorHAnsi"/>
                <w:bCs/>
              </w:rPr>
              <w:t>b</w:t>
            </w:r>
            <w:r w:rsidR="00F04876" w:rsidRPr="00D443CB">
              <w:rPr>
                <w:rFonts w:ascii="Gill Sans MT" w:hAnsi="Gill Sans MT" w:cstheme="minorHAnsi"/>
                <w:bCs/>
              </w:rPr>
              <w:t>acilli</w:t>
            </w:r>
          </w:p>
        </w:tc>
      </w:tr>
      <w:tr w:rsidR="0054153F" w:rsidRPr="00D443CB" w14:paraId="3200BEB9" w14:textId="77777777" w:rsidTr="007E4DE5">
        <w:tc>
          <w:tcPr>
            <w:tcW w:w="1440" w:type="dxa"/>
            <w:shd w:val="clear" w:color="auto" w:fill="auto"/>
            <w:vAlign w:val="center"/>
          </w:tcPr>
          <w:p w14:paraId="1F374C25" w14:textId="4F7EFDD6"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APHL</w:t>
            </w:r>
          </w:p>
        </w:tc>
        <w:tc>
          <w:tcPr>
            <w:tcW w:w="7830" w:type="dxa"/>
            <w:shd w:val="clear" w:color="auto" w:fill="auto"/>
            <w:vAlign w:val="center"/>
          </w:tcPr>
          <w:p w14:paraId="2770EB54" w14:textId="76FF27C8"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 xml:space="preserve">Association of Public Health </w:t>
            </w:r>
            <w:r w:rsidR="00F04876" w:rsidRPr="00D443CB">
              <w:rPr>
                <w:rFonts w:ascii="Gill Sans MT" w:hAnsi="Gill Sans MT" w:cstheme="minorHAnsi"/>
              </w:rPr>
              <w:t>Laboratories</w:t>
            </w:r>
          </w:p>
        </w:tc>
      </w:tr>
      <w:tr w:rsidR="0054153F" w:rsidRPr="00D443CB" w14:paraId="028EBB06" w14:textId="77777777" w:rsidTr="007E4DE5">
        <w:tc>
          <w:tcPr>
            <w:tcW w:w="1440" w:type="dxa"/>
            <w:shd w:val="clear" w:color="auto" w:fill="auto"/>
            <w:vAlign w:val="center"/>
          </w:tcPr>
          <w:p w14:paraId="4203D35D" w14:textId="133EB08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ASLM</w:t>
            </w:r>
          </w:p>
        </w:tc>
        <w:tc>
          <w:tcPr>
            <w:tcW w:w="7830" w:type="dxa"/>
            <w:shd w:val="clear" w:color="auto" w:fill="auto"/>
            <w:vAlign w:val="center"/>
          </w:tcPr>
          <w:p w14:paraId="27D07113" w14:textId="6706F48C"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African Society of Laboratory Medicine</w:t>
            </w:r>
          </w:p>
        </w:tc>
      </w:tr>
      <w:tr w:rsidR="0054153F" w:rsidRPr="00D443CB" w14:paraId="0A95C48B" w14:textId="77777777" w:rsidTr="007E4DE5">
        <w:tc>
          <w:tcPr>
            <w:tcW w:w="1440" w:type="dxa"/>
            <w:shd w:val="clear" w:color="auto" w:fill="auto"/>
          </w:tcPr>
          <w:p w14:paraId="38A995D8" w14:textId="1C852702"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 xml:space="preserve">BSL </w:t>
            </w:r>
          </w:p>
        </w:tc>
        <w:tc>
          <w:tcPr>
            <w:tcW w:w="7830" w:type="dxa"/>
            <w:shd w:val="clear" w:color="auto" w:fill="auto"/>
          </w:tcPr>
          <w:p w14:paraId="5CE64FF1" w14:textId="790B67AC" w:rsidR="0054153F" w:rsidRPr="00D443CB" w:rsidRDefault="0011374B" w:rsidP="003F0903">
            <w:pPr>
              <w:spacing w:after="0" w:line="240" w:lineRule="auto"/>
              <w:rPr>
                <w:rFonts w:ascii="Gill Sans MT" w:hAnsi="Gill Sans MT" w:cstheme="minorHAnsi"/>
              </w:rPr>
            </w:pPr>
            <w:r w:rsidRPr="00D443CB">
              <w:rPr>
                <w:rFonts w:ascii="Gill Sans MT" w:hAnsi="Gill Sans MT" w:cstheme="minorHAnsi"/>
              </w:rPr>
              <w:t>b</w:t>
            </w:r>
            <w:r w:rsidR="0054153F" w:rsidRPr="00D443CB">
              <w:rPr>
                <w:rFonts w:ascii="Gill Sans MT" w:hAnsi="Gill Sans MT" w:cstheme="minorHAnsi"/>
              </w:rPr>
              <w:t>iosafety level</w:t>
            </w:r>
          </w:p>
        </w:tc>
      </w:tr>
      <w:tr w:rsidR="0054153F" w:rsidRPr="00D443CB" w14:paraId="06467D0D" w14:textId="77777777" w:rsidTr="007E4DE5">
        <w:tc>
          <w:tcPr>
            <w:tcW w:w="1440" w:type="dxa"/>
            <w:shd w:val="clear" w:color="auto" w:fill="auto"/>
          </w:tcPr>
          <w:p w14:paraId="0D498165"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 xml:space="preserve">CQI </w:t>
            </w:r>
          </w:p>
        </w:tc>
        <w:tc>
          <w:tcPr>
            <w:tcW w:w="7830" w:type="dxa"/>
            <w:shd w:val="clear" w:color="auto" w:fill="auto"/>
          </w:tcPr>
          <w:p w14:paraId="57F5A84D" w14:textId="021DA64A" w:rsidR="0054153F" w:rsidRPr="00D443CB" w:rsidRDefault="0011374B" w:rsidP="003F0903">
            <w:pPr>
              <w:spacing w:after="0" w:line="240" w:lineRule="auto"/>
              <w:rPr>
                <w:rFonts w:ascii="Gill Sans MT" w:hAnsi="Gill Sans MT" w:cstheme="minorHAnsi"/>
              </w:rPr>
            </w:pPr>
            <w:r w:rsidRPr="00D443CB">
              <w:rPr>
                <w:rFonts w:ascii="Gill Sans MT" w:hAnsi="Gill Sans MT" w:cstheme="minorHAnsi"/>
              </w:rPr>
              <w:t>c</w:t>
            </w:r>
            <w:r w:rsidR="0054153F" w:rsidRPr="00D443CB">
              <w:rPr>
                <w:rFonts w:ascii="Gill Sans MT" w:hAnsi="Gill Sans MT" w:cstheme="minorHAnsi"/>
              </w:rPr>
              <w:t xml:space="preserve">ontinuous </w:t>
            </w:r>
            <w:r w:rsidRPr="00D443CB">
              <w:rPr>
                <w:rFonts w:ascii="Gill Sans MT" w:hAnsi="Gill Sans MT" w:cstheme="minorHAnsi"/>
              </w:rPr>
              <w:t>q</w:t>
            </w:r>
            <w:r w:rsidR="00F04876" w:rsidRPr="00D443CB">
              <w:rPr>
                <w:rFonts w:ascii="Gill Sans MT" w:hAnsi="Gill Sans MT" w:cstheme="minorHAnsi"/>
              </w:rPr>
              <w:t>uality</w:t>
            </w:r>
            <w:r w:rsidR="002C5006" w:rsidRPr="00D443CB">
              <w:rPr>
                <w:rFonts w:ascii="Gill Sans MT" w:hAnsi="Gill Sans MT" w:cstheme="minorHAnsi"/>
              </w:rPr>
              <w:t xml:space="preserve"> </w:t>
            </w:r>
            <w:r w:rsidR="009C35AF" w:rsidRPr="00D443CB">
              <w:rPr>
                <w:rFonts w:ascii="Gill Sans MT" w:hAnsi="Gill Sans MT" w:cstheme="minorHAnsi"/>
              </w:rPr>
              <w:t>i</w:t>
            </w:r>
            <w:r w:rsidR="00F04876" w:rsidRPr="00D443CB">
              <w:rPr>
                <w:rFonts w:ascii="Gill Sans MT" w:hAnsi="Gill Sans MT" w:cstheme="minorHAnsi"/>
              </w:rPr>
              <w:t>mprovement</w:t>
            </w:r>
          </w:p>
        </w:tc>
      </w:tr>
      <w:tr w:rsidR="0054153F" w:rsidRPr="00D443CB" w14:paraId="58013315" w14:textId="77777777" w:rsidTr="007E4DE5">
        <w:tc>
          <w:tcPr>
            <w:tcW w:w="1440" w:type="dxa"/>
            <w:shd w:val="clear" w:color="auto" w:fill="auto"/>
          </w:tcPr>
          <w:p w14:paraId="6BB48261"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DR-TB</w:t>
            </w:r>
          </w:p>
        </w:tc>
        <w:tc>
          <w:tcPr>
            <w:tcW w:w="7830" w:type="dxa"/>
            <w:shd w:val="clear" w:color="auto" w:fill="auto"/>
          </w:tcPr>
          <w:p w14:paraId="06FAA10D" w14:textId="51A23689"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drug</w:t>
            </w:r>
            <w:r w:rsidR="0054153F" w:rsidRPr="00D443CB">
              <w:rPr>
                <w:rFonts w:ascii="Gill Sans MT" w:hAnsi="Gill Sans MT" w:cstheme="minorHAnsi"/>
              </w:rPr>
              <w:t>-</w:t>
            </w:r>
            <w:r w:rsidRPr="00D443CB">
              <w:rPr>
                <w:rFonts w:ascii="Gill Sans MT" w:hAnsi="Gill Sans MT" w:cstheme="minorHAnsi"/>
              </w:rPr>
              <w:t>resistant tuberculosis</w:t>
            </w:r>
          </w:p>
        </w:tc>
      </w:tr>
      <w:tr w:rsidR="0054153F" w:rsidRPr="00D443CB" w14:paraId="13EE2E96" w14:textId="77777777" w:rsidTr="007E4DE5">
        <w:tc>
          <w:tcPr>
            <w:tcW w:w="1440" w:type="dxa"/>
            <w:shd w:val="clear" w:color="auto" w:fill="auto"/>
          </w:tcPr>
          <w:p w14:paraId="411191C8"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DST</w:t>
            </w:r>
          </w:p>
        </w:tc>
        <w:tc>
          <w:tcPr>
            <w:tcW w:w="7830" w:type="dxa"/>
            <w:shd w:val="clear" w:color="auto" w:fill="auto"/>
          </w:tcPr>
          <w:p w14:paraId="5A1287BC" w14:textId="143754CD"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drug</w:t>
            </w:r>
            <w:r w:rsidR="00D3472D" w:rsidRPr="00D443CB">
              <w:rPr>
                <w:rFonts w:ascii="Gill Sans MT" w:hAnsi="Gill Sans MT" w:cstheme="minorHAnsi"/>
              </w:rPr>
              <w:t>-</w:t>
            </w:r>
            <w:r w:rsidRPr="00D443CB">
              <w:rPr>
                <w:rFonts w:ascii="Gill Sans MT" w:hAnsi="Gill Sans MT" w:cstheme="minorHAnsi"/>
              </w:rPr>
              <w:t>susceptibility testing</w:t>
            </w:r>
          </w:p>
        </w:tc>
      </w:tr>
      <w:tr w:rsidR="0054153F" w:rsidRPr="00D443CB" w14:paraId="4BC25D8D" w14:textId="77777777" w:rsidTr="007E4DE5">
        <w:tc>
          <w:tcPr>
            <w:tcW w:w="1440" w:type="dxa"/>
            <w:shd w:val="clear" w:color="auto" w:fill="auto"/>
          </w:tcPr>
          <w:p w14:paraId="5960014A"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EQA</w:t>
            </w:r>
          </w:p>
        </w:tc>
        <w:tc>
          <w:tcPr>
            <w:tcW w:w="7830" w:type="dxa"/>
            <w:shd w:val="clear" w:color="auto" w:fill="auto"/>
          </w:tcPr>
          <w:p w14:paraId="531E4824" w14:textId="46812865"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e</w:t>
            </w:r>
            <w:r w:rsidR="0054153F" w:rsidRPr="00D443CB">
              <w:rPr>
                <w:rFonts w:ascii="Gill Sans MT" w:hAnsi="Gill Sans MT" w:cstheme="minorHAnsi"/>
              </w:rPr>
              <w:t xml:space="preserve">xternal </w:t>
            </w:r>
            <w:r w:rsidRPr="00D443CB">
              <w:rPr>
                <w:rFonts w:ascii="Gill Sans MT" w:hAnsi="Gill Sans MT" w:cstheme="minorHAnsi"/>
              </w:rPr>
              <w:t>q</w:t>
            </w:r>
            <w:r w:rsidR="0054153F" w:rsidRPr="00D443CB">
              <w:rPr>
                <w:rFonts w:ascii="Gill Sans MT" w:hAnsi="Gill Sans MT" w:cstheme="minorHAnsi"/>
              </w:rPr>
              <w:t xml:space="preserve">uality </w:t>
            </w:r>
            <w:r w:rsidR="002C5006" w:rsidRPr="00D443CB">
              <w:rPr>
                <w:rFonts w:ascii="Gill Sans MT" w:hAnsi="Gill Sans MT" w:cstheme="minorHAnsi"/>
              </w:rPr>
              <w:t>a</w:t>
            </w:r>
            <w:r w:rsidR="00F04876" w:rsidRPr="00D443CB">
              <w:rPr>
                <w:rFonts w:ascii="Gill Sans MT" w:hAnsi="Gill Sans MT" w:cstheme="minorHAnsi"/>
              </w:rPr>
              <w:t>ssessment</w:t>
            </w:r>
          </w:p>
        </w:tc>
      </w:tr>
      <w:tr w:rsidR="0054153F" w:rsidRPr="00D443CB" w14:paraId="2868F1A1" w14:textId="77777777" w:rsidTr="007E4DE5">
        <w:tc>
          <w:tcPr>
            <w:tcW w:w="1440" w:type="dxa"/>
            <w:shd w:val="clear" w:color="auto" w:fill="auto"/>
          </w:tcPr>
          <w:p w14:paraId="4FC9B86E"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FLD</w:t>
            </w:r>
          </w:p>
        </w:tc>
        <w:tc>
          <w:tcPr>
            <w:tcW w:w="7830" w:type="dxa"/>
            <w:shd w:val="clear" w:color="auto" w:fill="auto"/>
          </w:tcPr>
          <w:p w14:paraId="08B52569" w14:textId="45BE6FF9"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f</w:t>
            </w:r>
            <w:r w:rsidR="0054153F" w:rsidRPr="00D443CB">
              <w:rPr>
                <w:rFonts w:ascii="Gill Sans MT" w:hAnsi="Gill Sans MT" w:cstheme="minorHAnsi"/>
              </w:rPr>
              <w:t>irst-line anti-TB drugs</w:t>
            </w:r>
          </w:p>
        </w:tc>
      </w:tr>
      <w:tr w:rsidR="0054153F" w:rsidRPr="00D443CB" w14:paraId="136DF4BD" w14:textId="77777777" w:rsidTr="007E4DE5">
        <w:tc>
          <w:tcPr>
            <w:tcW w:w="1440" w:type="dxa"/>
            <w:shd w:val="clear" w:color="auto" w:fill="auto"/>
          </w:tcPr>
          <w:p w14:paraId="5D0A8813"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FQ</w:t>
            </w:r>
          </w:p>
        </w:tc>
        <w:tc>
          <w:tcPr>
            <w:tcW w:w="7830" w:type="dxa"/>
            <w:shd w:val="clear" w:color="auto" w:fill="auto"/>
          </w:tcPr>
          <w:p w14:paraId="781331E4" w14:textId="5D10B7AF"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f</w:t>
            </w:r>
            <w:r w:rsidR="0054153F" w:rsidRPr="00D443CB">
              <w:rPr>
                <w:rFonts w:ascii="Gill Sans MT" w:hAnsi="Gill Sans MT" w:cstheme="minorHAnsi"/>
              </w:rPr>
              <w:t xml:space="preserve">luoroquinolone (e.g., </w:t>
            </w:r>
            <w:r w:rsidR="005805FA" w:rsidRPr="00D443CB">
              <w:rPr>
                <w:rFonts w:ascii="Gill Sans MT" w:hAnsi="Gill Sans MT" w:cstheme="minorHAnsi"/>
              </w:rPr>
              <w:t>l</w:t>
            </w:r>
            <w:r w:rsidR="00F04876" w:rsidRPr="00D443CB">
              <w:rPr>
                <w:rFonts w:ascii="Gill Sans MT" w:hAnsi="Gill Sans MT" w:cstheme="minorHAnsi"/>
              </w:rPr>
              <w:t xml:space="preserve">evofloxacin </w:t>
            </w:r>
            <w:r w:rsidR="0054153F" w:rsidRPr="00D443CB">
              <w:rPr>
                <w:rFonts w:ascii="Gill Sans MT" w:hAnsi="Gill Sans MT" w:cstheme="minorHAnsi"/>
              </w:rPr>
              <w:t xml:space="preserve">or </w:t>
            </w:r>
            <w:r w:rsidR="005805FA" w:rsidRPr="00D443CB">
              <w:rPr>
                <w:rFonts w:ascii="Gill Sans MT" w:hAnsi="Gill Sans MT" w:cstheme="minorHAnsi"/>
              </w:rPr>
              <w:t>m</w:t>
            </w:r>
            <w:r w:rsidR="00F04876" w:rsidRPr="00D443CB">
              <w:rPr>
                <w:rFonts w:ascii="Gill Sans MT" w:hAnsi="Gill Sans MT" w:cstheme="minorHAnsi"/>
              </w:rPr>
              <w:t>oxifloxacin</w:t>
            </w:r>
            <w:r w:rsidR="0054153F" w:rsidRPr="00D443CB">
              <w:rPr>
                <w:rFonts w:ascii="Gill Sans MT" w:hAnsi="Gill Sans MT" w:cstheme="minorHAnsi"/>
              </w:rPr>
              <w:t>)</w:t>
            </w:r>
          </w:p>
        </w:tc>
      </w:tr>
      <w:tr w:rsidR="0054153F" w:rsidRPr="00D443CB" w14:paraId="4CD9F4E0" w14:textId="77777777" w:rsidTr="007E4DE5">
        <w:tc>
          <w:tcPr>
            <w:tcW w:w="1440" w:type="dxa"/>
            <w:shd w:val="clear" w:color="auto" w:fill="auto"/>
          </w:tcPr>
          <w:p w14:paraId="7C52A257" w14:textId="3D3D6EE5"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GDF</w:t>
            </w:r>
          </w:p>
        </w:tc>
        <w:tc>
          <w:tcPr>
            <w:tcW w:w="7830" w:type="dxa"/>
            <w:shd w:val="clear" w:color="auto" w:fill="auto"/>
          </w:tcPr>
          <w:p w14:paraId="092ADFD7" w14:textId="78D41B55"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Global Drug Facility</w:t>
            </w:r>
          </w:p>
        </w:tc>
      </w:tr>
      <w:tr w:rsidR="0054153F" w:rsidRPr="00D443CB" w14:paraId="4EAC9D8B" w14:textId="77777777" w:rsidTr="007E4DE5">
        <w:tc>
          <w:tcPr>
            <w:tcW w:w="1440" w:type="dxa"/>
            <w:shd w:val="clear" w:color="auto" w:fill="auto"/>
          </w:tcPr>
          <w:p w14:paraId="609410F0" w14:textId="3946B4BC" w:rsidR="0054153F" w:rsidRPr="00D443CB" w:rsidRDefault="0054153F" w:rsidP="003F0903">
            <w:pPr>
              <w:widowControl w:val="0"/>
              <w:autoSpaceDE w:val="0"/>
              <w:autoSpaceDN w:val="0"/>
              <w:adjustRightInd w:val="0"/>
              <w:spacing w:after="0" w:line="240" w:lineRule="auto"/>
              <w:ind w:right="-20"/>
              <w:rPr>
                <w:rFonts w:ascii="Gill Sans MT" w:hAnsi="Gill Sans MT" w:cstheme="minorHAnsi"/>
              </w:rPr>
            </w:pPr>
            <w:r w:rsidRPr="00D443CB">
              <w:rPr>
                <w:rFonts w:ascii="Gill Sans MT" w:hAnsi="Gill Sans MT" w:cstheme="minorHAnsi"/>
              </w:rPr>
              <w:t>GHSA</w:t>
            </w:r>
          </w:p>
        </w:tc>
        <w:tc>
          <w:tcPr>
            <w:tcW w:w="7830" w:type="dxa"/>
            <w:shd w:val="clear" w:color="auto" w:fill="auto"/>
          </w:tcPr>
          <w:p w14:paraId="2B5A9FAE" w14:textId="68905049" w:rsidR="0054153F" w:rsidRPr="00D443CB" w:rsidRDefault="0054153F" w:rsidP="003F0903">
            <w:pPr>
              <w:widowControl w:val="0"/>
              <w:autoSpaceDE w:val="0"/>
              <w:autoSpaceDN w:val="0"/>
              <w:adjustRightInd w:val="0"/>
              <w:spacing w:after="0" w:line="240" w:lineRule="auto"/>
              <w:ind w:right="-20"/>
              <w:rPr>
                <w:rFonts w:ascii="Gill Sans MT" w:hAnsi="Gill Sans MT" w:cstheme="minorHAnsi"/>
              </w:rPr>
            </w:pPr>
            <w:r w:rsidRPr="00D443CB">
              <w:rPr>
                <w:rFonts w:ascii="Gill Sans MT" w:hAnsi="Gill Sans MT" w:cstheme="minorHAnsi"/>
              </w:rPr>
              <w:t>Global Health Security Agenda</w:t>
            </w:r>
          </w:p>
        </w:tc>
      </w:tr>
      <w:tr w:rsidR="0054153F" w:rsidRPr="00D443CB" w14:paraId="512C71C5" w14:textId="77777777" w:rsidTr="007E4DE5">
        <w:tc>
          <w:tcPr>
            <w:tcW w:w="1440" w:type="dxa"/>
            <w:shd w:val="clear" w:color="auto" w:fill="auto"/>
          </w:tcPr>
          <w:p w14:paraId="4F24B456"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GIS</w:t>
            </w:r>
          </w:p>
        </w:tc>
        <w:tc>
          <w:tcPr>
            <w:tcW w:w="7830" w:type="dxa"/>
            <w:shd w:val="clear" w:color="auto" w:fill="auto"/>
          </w:tcPr>
          <w:p w14:paraId="4E273516" w14:textId="522D45AC"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g</w:t>
            </w:r>
            <w:r w:rsidR="0054153F" w:rsidRPr="00D443CB">
              <w:rPr>
                <w:rFonts w:ascii="Gill Sans MT" w:hAnsi="Gill Sans MT" w:cstheme="minorHAnsi"/>
              </w:rPr>
              <w:t xml:space="preserve">eographic </w:t>
            </w:r>
            <w:r w:rsidRPr="00D443CB">
              <w:rPr>
                <w:rFonts w:ascii="Gill Sans MT" w:hAnsi="Gill Sans MT" w:cstheme="minorHAnsi"/>
              </w:rPr>
              <w:t>i</w:t>
            </w:r>
            <w:r w:rsidR="00F04876" w:rsidRPr="00D443CB">
              <w:rPr>
                <w:rFonts w:ascii="Gill Sans MT" w:hAnsi="Gill Sans MT" w:cstheme="minorHAnsi"/>
              </w:rPr>
              <w:t xml:space="preserve">nformation </w:t>
            </w:r>
            <w:r w:rsidRPr="00D443CB">
              <w:rPr>
                <w:rFonts w:ascii="Gill Sans MT" w:hAnsi="Gill Sans MT" w:cstheme="minorHAnsi"/>
              </w:rPr>
              <w:t>s</w:t>
            </w:r>
            <w:r w:rsidR="00F04876" w:rsidRPr="00D443CB">
              <w:rPr>
                <w:rFonts w:ascii="Gill Sans MT" w:hAnsi="Gill Sans MT" w:cstheme="minorHAnsi"/>
              </w:rPr>
              <w:t>ystem</w:t>
            </w:r>
          </w:p>
        </w:tc>
      </w:tr>
      <w:tr w:rsidR="0054153F" w:rsidRPr="00D443CB" w14:paraId="3B76635D" w14:textId="77777777" w:rsidTr="007E4DE5">
        <w:tc>
          <w:tcPr>
            <w:tcW w:w="1440" w:type="dxa"/>
            <w:shd w:val="clear" w:color="auto" w:fill="auto"/>
          </w:tcPr>
          <w:p w14:paraId="3115782C"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GLI</w:t>
            </w:r>
          </w:p>
        </w:tc>
        <w:tc>
          <w:tcPr>
            <w:tcW w:w="7830" w:type="dxa"/>
            <w:shd w:val="clear" w:color="auto" w:fill="auto"/>
          </w:tcPr>
          <w:p w14:paraId="1FAFEF27"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Global Laboratory Initiative</w:t>
            </w:r>
          </w:p>
        </w:tc>
      </w:tr>
      <w:tr w:rsidR="0054153F" w:rsidRPr="00D443CB" w14:paraId="0734B99A" w14:textId="77777777" w:rsidTr="007E4DE5">
        <w:tc>
          <w:tcPr>
            <w:tcW w:w="1440" w:type="dxa"/>
            <w:shd w:val="clear" w:color="auto" w:fill="auto"/>
          </w:tcPr>
          <w:p w14:paraId="47CEC977"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 xml:space="preserve">HIV </w:t>
            </w:r>
          </w:p>
        </w:tc>
        <w:tc>
          <w:tcPr>
            <w:tcW w:w="7830" w:type="dxa"/>
            <w:shd w:val="clear" w:color="auto" w:fill="auto"/>
          </w:tcPr>
          <w:p w14:paraId="6313BC89" w14:textId="3ACC1916" w:rsidR="0054153F" w:rsidRPr="00D443CB" w:rsidRDefault="002C5006" w:rsidP="003F0903">
            <w:pPr>
              <w:spacing w:after="0" w:line="240" w:lineRule="auto"/>
              <w:rPr>
                <w:rFonts w:ascii="Gill Sans MT" w:hAnsi="Gill Sans MT" w:cstheme="minorHAnsi"/>
              </w:rPr>
            </w:pPr>
            <w:r w:rsidRPr="00D443CB">
              <w:rPr>
                <w:rFonts w:ascii="Gill Sans MT" w:hAnsi="Gill Sans MT" w:cstheme="minorHAnsi"/>
              </w:rPr>
              <w:t>H</w:t>
            </w:r>
            <w:r w:rsidR="0054153F" w:rsidRPr="00D443CB">
              <w:rPr>
                <w:rFonts w:ascii="Gill Sans MT" w:hAnsi="Gill Sans MT" w:cstheme="minorHAnsi"/>
              </w:rPr>
              <w:t xml:space="preserve">uman </w:t>
            </w:r>
            <w:r w:rsidRPr="00D443CB">
              <w:rPr>
                <w:rFonts w:ascii="Gill Sans MT" w:hAnsi="Gill Sans MT" w:cstheme="minorHAnsi"/>
              </w:rPr>
              <w:t>I</w:t>
            </w:r>
            <w:r w:rsidR="00F04876" w:rsidRPr="00D443CB">
              <w:rPr>
                <w:rFonts w:ascii="Gill Sans MT" w:hAnsi="Gill Sans MT" w:cstheme="minorHAnsi"/>
              </w:rPr>
              <w:t xml:space="preserve">mmunodeficiency </w:t>
            </w:r>
            <w:r w:rsidRPr="00D443CB">
              <w:rPr>
                <w:rFonts w:ascii="Gill Sans MT" w:hAnsi="Gill Sans MT" w:cstheme="minorHAnsi"/>
              </w:rPr>
              <w:t>V</w:t>
            </w:r>
            <w:r w:rsidR="00F04876" w:rsidRPr="00D443CB">
              <w:rPr>
                <w:rFonts w:ascii="Gill Sans MT" w:hAnsi="Gill Sans MT" w:cstheme="minorHAnsi"/>
              </w:rPr>
              <w:t>irus</w:t>
            </w:r>
          </w:p>
        </w:tc>
      </w:tr>
      <w:tr w:rsidR="0054153F" w:rsidRPr="00D443CB" w14:paraId="191CA018" w14:textId="77777777" w:rsidTr="007E4DE5">
        <w:tc>
          <w:tcPr>
            <w:tcW w:w="1440" w:type="dxa"/>
            <w:shd w:val="clear" w:color="auto" w:fill="auto"/>
          </w:tcPr>
          <w:p w14:paraId="0CC0F6A8"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HR</w:t>
            </w:r>
          </w:p>
        </w:tc>
        <w:tc>
          <w:tcPr>
            <w:tcW w:w="7830" w:type="dxa"/>
            <w:shd w:val="clear" w:color="auto" w:fill="auto"/>
          </w:tcPr>
          <w:p w14:paraId="61C336DD" w14:textId="1FE9F7A7"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h</w:t>
            </w:r>
            <w:r w:rsidR="0054153F" w:rsidRPr="00D443CB">
              <w:rPr>
                <w:rFonts w:ascii="Gill Sans MT" w:hAnsi="Gill Sans MT" w:cstheme="minorHAnsi"/>
              </w:rPr>
              <w:t xml:space="preserve">uman </w:t>
            </w:r>
            <w:r w:rsidRPr="00D443CB">
              <w:rPr>
                <w:rFonts w:ascii="Gill Sans MT" w:hAnsi="Gill Sans MT" w:cstheme="minorHAnsi"/>
              </w:rPr>
              <w:t>r</w:t>
            </w:r>
            <w:r w:rsidR="00F04876" w:rsidRPr="00D443CB">
              <w:rPr>
                <w:rFonts w:ascii="Gill Sans MT" w:hAnsi="Gill Sans MT" w:cstheme="minorHAnsi"/>
              </w:rPr>
              <w:t>esources</w:t>
            </w:r>
          </w:p>
        </w:tc>
      </w:tr>
      <w:tr w:rsidR="0054153F" w:rsidRPr="00D443CB" w14:paraId="1C0AD558" w14:textId="77777777" w:rsidTr="007E4DE5">
        <w:tc>
          <w:tcPr>
            <w:tcW w:w="1440" w:type="dxa"/>
            <w:shd w:val="clear" w:color="auto" w:fill="auto"/>
          </w:tcPr>
          <w:p w14:paraId="7A366A18" w14:textId="53203CC8"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IDSR</w:t>
            </w:r>
          </w:p>
        </w:tc>
        <w:tc>
          <w:tcPr>
            <w:tcW w:w="7830" w:type="dxa"/>
            <w:shd w:val="clear" w:color="auto" w:fill="auto"/>
          </w:tcPr>
          <w:p w14:paraId="14910F76" w14:textId="16C8A099" w:rsidR="0054153F" w:rsidRPr="00D443CB" w:rsidRDefault="0054153F" w:rsidP="003F0903">
            <w:pPr>
              <w:widowControl w:val="0"/>
              <w:autoSpaceDE w:val="0"/>
              <w:autoSpaceDN w:val="0"/>
              <w:adjustRightInd w:val="0"/>
              <w:spacing w:after="0" w:line="240" w:lineRule="auto"/>
              <w:ind w:right="-20"/>
              <w:rPr>
                <w:rFonts w:ascii="Gill Sans MT" w:hAnsi="Gill Sans MT" w:cstheme="minorHAnsi"/>
              </w:rPr>
            </w:pPr>
            <w:r w:rsidRPr="00D443CB">
              <w:rPr>
                <w:rFonts w:ascii="Gill Sans MT" w:hAnsi="Gill Sans MT" w:cstheme="minorHAnsi"/>
              </w:rPr>
              <w:t>Integrated Disease Surveillance and Response</w:t>
            </w:r>
          </w:p>
        </w:tc>
      </w:tr>
      <w:tr w:rsidR="0054153F" w:rsidRPr="00D443CB" w14:paraId="50982651" w14:textId="77777777" w:rsidTr="007E4DE5">
        <w:tc>
          <w:tcPr>
            <w:tcW w:w="1440" w:type="dxa"/>
            <w:shd w:val="clear" w:color="auto" w:fill="auto"/>
          </w:tcPr>
          <w:p w14:paraId="66A762A3" w14:textId="3487943A" w:rsidR="0054153F" w:rsidRPr="00D443CB" w:rsidRDefault="0054153F" w:rsidP="003F0903">
            <w:pPr>
              <w:widowControl w:val="0"/>
              <w:tabs>
                <w:tab w:val="left" w:pos="720"/>
              </w:tabs>
              <w:autoSpaceDE w:val="0"/>
              <w:autoSpaceDN w:val="0"/>
              <w:adjustRightInd w:val="0"/>
              <w:spacing w:after="0" w:line="240" w:lineRule="auto"/>
              <w:ind w:right="-20"/>
              <w:rPr>
                <w:rFonts w:ascii="Gill Sans MT" w:hAnsi="Gill Sans MT" w:cstheme="minorHAnsi"/>
              </w:rPr>
            </w:pPr>
            <w:r w:rsidRPr="00D443CB">
              <w:rPr>
                <w:rFonts w:ascii="Gill Sans MT" w:hAnsi="Gill Sans MT" w:cstheme="minorHAnsi"/>
              </w:rPr>
              <w:t>IHR</w:t>
            </w:r>
          </w:p>
        </w:tc>
        <w:tc>
          <w:tcPr>
            <w:tcW w:w="7830" w:type="dxa"/>
            <w:shd w:val="clear" w:color="auto" w:fill="auto"/>
          </w:tcPr>
          <w:p w14:paraId="3E8006F8" w14:textId="62A2DD80" w:rsidR="0054153F" w:rsidRPr="00D443CB" w:rsidRDefault="0054153F" w:rsidP="003F0903">
            <w:pPr>
              <w:widowControl w:val="0"/>
              <w:tabs>
                <w:tab w:val="left" w:pos="720"/>
              </w:tabs>
              <w:autoSpaceDE w:val="0"/>
              <w:autoSpaceDN w:val="0"/>
              <w:adjustRightInd w:val="0"/>
              <w:spacing w:after="0" w:line="240" w:lineRule="auto"/>
              <w:ind w:right="-20"/>
              <w:rPr>
                <w:rFonts w:ascii="Gill Sans MT" w:hAnsi="Gill Sans MT" w:cstheme="minorHAnsi"/>
              </w:rPr>
            </w:pPr>
            <w:r w:rsidRPr="00D443CB">
              <w:rPr>
                <w:rFonts w:ascii="Gill Sans MT" w:hAnsi="Gill Sans MT" w:cstheme="minorHAnsi"/>
              </w:rPr>
              <w:t>International Health Regulation</w:t>
            </w:r>
          </w:p>
        </w:tc>
      </w:tr>
      <w:tr w:rsidR="001948B6" w:rsidRPr="00D443CB" w14:paraId="28FA3F51" w14:textId="77777777" w:rsidTr="007E4DE5">
        <w:tc>
          <w:tcPr>
            <w:tcW w:w="1440" w:type="dxa"/>
            <w:shd w:val="clear" w:color="auto" w:fill="auto"/>
          </w:tcPr>
          <w:p w14:paraId="6BBE6BA9" w14:textId="235BCA77" w:rsidR="001948B6" w:rsidRPr="00D443CB" w:rsidRDefault="001948B6" w:rsidP="003F0903">
            <w:pPr>
              <w:spacing w:after="0" w:line="240" w:lineRule="auto"/>
              <w:rPr>
                <w:rFonts w:ascii="Gill Sans MT" w:hAnsi="Gill Sans MT" w:cstheme="minorHAnsi"/>
              </w:rPr>
            </w:pPr>
            <w:r w:rsidRPr="00D443CB">
              <w:rPr>
                <w:rFonts w:ascii="Gill Sans MT" w:hAnsi="Gill Sans MT" w:cstheme="minorHAnsi"/>
              </w:rPr>
              <w:t>LABNET</w:t>
            </w:r>
          </w:p>
        </w:tc>
        <w:tc>
          <w:tcPr>
            <w:tcW w:w="7830" w:type="dxa"/>
            <w:shd w:val="clear" w:color="auto" w:fill="auto"/>
          </w:tcPr>
          <w:p w14:paraId="033525DD" w14:textId="03800BA2" w:rsidR="001948B6" w:rsidRPr="00D443CB" w:rsidRDefault="009C35AF" w:rsidP="003F0903">
            <w:pPr>
              <w:spacing w:after="0" w:line="240" w:lineRule="auto"/>
              <w:rPr>
                <w:rFonts w:ascii="Gill Sans MT" w:hAnsi="Gill Sans MT" w:cstheme="minorHAnsi"/>
              </w:rPr>
            </w:pPr>
            <w:r w:rsidRPr="00D443CB">
              <w:rPr>
                <w:rFonts w:ascii="Gill Sans MT" w:hAnsi="Gill Sans MT" w:cstheme="minorHAnsi"/>
              </w:rPr>
              <w:t>n</w:t>
            </w:r>
            <w:r w:rsidR="001948B6" w:rsidRPr="00D443CB">
              <w:rPr>
                <w:rFonts w:ascii="Gill Sans MT" w:hAnsi="Gill Sans MT" w:cstheme="minorHAnsi"/>
              </w:rPr>
              <w:t xml:space="preserve">ational </w:t>
            </w:r>
            <w:r w:rsidRPr="00D443CB">
              <w:rPr>
                <w:rFonts w:ascii="Gill Sans MT" w:hAnsi="Gill Sans MT" w:cstheme="minorHAnsi"/>
              </w:rPr>
              <w:t>laboratory network a</w:t>
            </w:r>
            <w:r w:rsidR="001948B6" w:rsidRPr="00D443CB">
              <w:rPr>
                <w:rFonts w:ascii="Gill Sans MT" w:hAnsi="Gill Sans MT" w:cstheme="minorHAnsi"/>
              </w:rPr>
              <w:t>ssessment scorecard</w:t>
            </w:r>
          </w:p>
        </w:tc>
      </w:tr>
      <w:tr w:rsidR="0054153F" w:rsidRPr="00D443CB" w14:paraId="2CF15DFE" w14:textId="77777777" w:rsidTr="007E4DE5">
        <w:tc>
          <w:tcPr>
            <w:tcW w:w="1440" w:type="dxa"/>
            <w:shd w:val="clear" w:color="auto" w:fill="auto"/>
          </w:tcPr>
          <w:p w14:paraId="7802E38A" w14:textId="7904250B"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LED FM</w:t>
            </w:r>
          </w:p>
        </w:tc>
        <w:tc>
          <w:tcPr>
            <w:tcW w:w="7830" w:type="dxa"/>
            <w:shd w:val="clear" w:color="auto" w:fill="auto"/>
          </w:tcPr>
          <w:p w14:paraId="21E0177A" w14:textId="2AC7D86C"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light e</w:t>
            </w:r>
            <w:r w:rsidR="0054153F" w:rsidRPr="00D443CB">
              <w:rPr>
                <w:rFonts w:ascii="Gill Sans MT" w:hAnsi="Gill Sans MT" w:cstheme="minorHAnsi"/>
              </w:rPr>
              <w:t xml:space="preserve">mitting </w:t>
            </w:r>
            <w:r w:rsidRPr="00D443CB">
              <w:rPr>
                <w:rFonts w:ascii="Gill Sans MT" w:hAnsi="Gill Sans MT" w:cstheme="minorHAnsi"/>
              </w:rPr>
              <w:t>d</w:t>
            </w:r>
            <w:r w:rsidR="0054153F" w:rsidRPr="00D443CB">
              <w:rPr>
                <w:rFonts w:ascii="Gill Sans MT" w:hAnsi="Gill Sans MT" w:cstheme="minorHAnsi"/>
              </w:rPr>
              <w:t xml:space="preserve">iode-based </w:t>
            </w:r>
            <w:r w:rsidRPr="00D443CB">
              <w:rPr>
                <w:rFonts w:ascii="Gill Sans MT" w:hAnsi="Gill Sans MT" w:cstheme="minorHAnsi"/>
              </w:rPr>
              <w:t>f</w:t>
            </w:r>
            <w:r w:rsidR="00F04876" w:rsidRPr="00D443CB">
              <w:rPr>
                <w:rFonts w:ascii="Gill Sans MT" w:hAnsi="Gill Sans MT" w:cstheme="minorHAnsi"/>
              </w:rPr>
              <w:t xml:space="preserve">luorescence </w:t>
            </w:r>
            <w:r w:rsidRPr="00D443CB">
              <w:rPr>
                <w:rFonts w:ascii="Gill Sans MT" w:hAnsi="Gill Sans MT" w:cstheme="minorHAnsi"/>
              </w:rPr>
              <w:t>m</w:t>
            </w:r>
            <w:r w:rsidR="00F04876" w:rsidRPr="00D443CB">
              <w:rPr>
                <w:rFonts w:ascii="Gill Sans MT" w:hAnsi="Gill Sans MT" w:cstheme="minorHAnsi"/>
              </w:rPr>
              <w:t>icroscopy</w:t>
            </w:r>
          </w:p>
        </w:tc>
      </w:tr>
      <w:tr w:rsidR="0054153F" w:rsidRPr="00D443CB" w14:paraId="1975610E" w14:textId="77777777" w:rsidTr="007E4DE5">
        <w:tc>
          <w:tcPr>
            <w:tcW w:w="1440" w:type="dxa"/>
            <w:shd w:val="clear" w:color="auto" w:fill="auto"/>
          </w:tcPr>
          <w:p w14:paraId="42AF955E"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LPA</w:t>
            </w:r>
          </w:p>
        </w:tc>
        <w:tc>
          <w:tcPr>
            <w:tcW w:w="7830" w:type="dxa"/>
            <w:shd w:val="clear" w:color="auto" w:fill="auto"/>
          </w:tcPr>
          <w:p w14:paraId="6502048C" w14:textId="14A7A5FB"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l</w:t>
            </w:r>
            <w:r w:rsidR="00D3472D" w:rsidRPr="00D443CB">
              <w:rPr>
                <w:rFonts w:ascii="Gill Sans MT" w:hAnsi="Gill Sans MT" w:cstheme="minorHAnsi"/>
              </w:rPr>
              <w:t>ine-</w:t>
            </w:r>
            <w:r w:rsidRPr="00D443CB">
              <w:rPr>
                <w:rFonts w:ascii="Gill Sans MT" w:hAnsi="Gill Sans MT" w:cstheme="minorHAnsi"/>
              </w:rPr>
              <w:t>p</w:t>
            </w:r>
            <w:r w:rsidR="00D3472D" w:rsidRPr="00D443CB">
              <w:rPr>
                <w:rFonts w:ascii="Gill Sans MT" w:hAnsi="Gill Sans MT" w:cstheme="minorHAnsi"/>
              </w:rPr>
              <w:t xml:space="preserve">robe </w:t>
            </w:r>
            <w:r w:rsidRPr="00D443CB">
              <w:rPr>
                <w:rFonts w:ascii="Gill Sans MT" w:hAnsi="Gill Sans MT" w:cstheme="minorHAnsi"/>
              </w:rPr>
              <w:t>a</w:t>
            </w:r>
            <w:r w:rsidR="00F04876" w:rsidRPr="00D443CB">
              <w:rPr>
                <w:rFonts w:ascii="Gill Sans MT" w:hAnsi="Gill Sans MT" w:cstheme="minorHAnsi"/>
              </w:rPr>
              <w:t>ssay</w:t>
            </w:r>
          </w:p>
        </w:tc>
      </w:tr>
      <w:tr w:rsidR="0054153F" w:rsidRPr="00D443CB" w14:paraId="75AE50FE" w14:textId="77777777" w:rsidTr="007E4DE5">
        <w:tc>
          <w:tcPr>
            <w:tcW w:w="1440" w:type="dxa"/>
            <w:shd w:val="clear" w:color="auto" w:fill="auto"/>
          </w:tcPr>
          <w:p w14:paraId="471902AB" w14:textId="6E98B459"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LI</w:t>
            </w:r>
            <w:r w:rsidR="00E25587" w:rsidRPr="00D443CB">
              <w:rPr>
                <w:rFonts w:ascii="Gill Sans MT" w:hAnsi="Gill Sans MT" w:cstheme="minorHAnsi"/>
              </w:rPr>
              <w:t>M</w:t>
            </w:r>
            <w:r w:rsidRPr="00D443CB">
              <w:rPr>
                <w:rFonts w:ascii="Gill Sans MT" w:hAnsi="Gill Sans MT" w:cstheme="minorHAnsi"/>
              </w:rPr>
              <w:t>S</w:t>
            </w:r>
          </w:p>
        </w:tc>
        <w:tc>
          <w:tcPr>
            <w:tcW w:w="7830" w:type="dxa"/>
            <w:shd w:val="clear" w:color="auto" w:fill="auto"/>
          </w:tcPr>
          <w:p w14:paraId="258836E2" w14:textId="723E9369"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l</w:t>
            </w:r>
            <w:r w:rsidR="0054153F" w:rsidRPr="00D443CB">
              <w:rPr>
                <w:rFonts w:ascii="Gill Sans MT" w:hAnsi="Gill Sans MT" w:cstheme="minorHAnsi"/>
              </w:rPr>
              <w:t xml:space="preserve">aboratory </w:t>
            </w:r>
            <w:r w:rsidRPr="00D443CB">
              <w:rPr>
                <w:rFonts w:ascii="Gill Sans MT" w:hAnsi="Gill Sans MT" w:cstheme="minorHAnsi"/>
              </w:rPr>
              <w:t>i</w:t>
            </w:r>
            <w:r w:rsidR="00F04876" w:rsidRPr="00D443CB">
              <w:rPr>
                <w:rFonts w:ascii="Gill Sans MT" w:hAnsi="Gill Sans MT" w:cstheme="minorHAnsi"/>
              </w:rPr>
              <w:t xml:space="preserve">nformation </w:t>
            </w:r>
            <w:r w:rsidRPr="00D443CB">
              <w:rPr>
                <w:rFonts w:ascii="Gill Sans MT" w:hAnsi="Gill Sans MT" w:cstheme="minorHAnsi"/>
              </w:rPr>
              <w:t>m</w:t>
            </w:r>
            <w:r w:rsidR="00E25587" w:rsidRPr="00D443CB">
              <w:rPr>
                <w:rFonts w:ascii="Gill Sans MT" w:hAnsi="Gill Sans MT" w:cstheme="minorHAnsi"/>
              </w:rPr>
              <w:t xml:space="preserve">anagement </w:t>
            </w:r>
            <w:r w:rsidR="003C2D14" w:rsidRPr="00D443CB">
              <w:rPr>
                <w:rFonts w:ascii="Gill Sans MT" w:hAnsi="Gill Sans MT" w:cstheme="minorHAnsi"/>
              </w:rPr>
              <w:t>sy</w:t>
            </w:r>
            <w:r w:rsidR="00F04876" w:rsidRPr="00D443CB">
              <w:rPr>
                <w:rFonts w:ascii="Gill Sans MT" w:hAnsi="Gill Sans MT" w:cstheme="minorHAnsi"/>
              </w:rPr>
              <w:t>stem</w:t>
            </w:r>
          </w:p>
        </w:tc>
      </w:tr>
      <w:tr w:rsidR="0054153F" w:rsidRPr="00D443CB" w14:paraId="1DAF83ED" w14:textId="77777777" w:rsidTr="007E4DE5">
        <w:tc>
          <w:tcPr>
            <w:tcW w:w="1440" w:type="dxa"/>
            <w:shd w:val="clear" w:color="auto" w:fill="auto"/>
          </w:tcPr>
          <w:p w14:paraId="3B6618C2"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MDR-TB</w:t>
            </w:r>
          </w:p>
        </w:tc>
        <w:tc>
          <w:tcPr>
            <w:tcW w:w="7830" w:type="dxa"/>
            <w:shd w:val="clear" w:color="auto" w:fill="auto"/>
          </w:tcPr>
          <w:p w14:paraId="56D0A750" w14:textId="1A44C467"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m</w:t>
            </w:r>
            <w:r w:rsidR="00F04876" w:rsidRPr="00D443CB">
              <w:rPr>
                <w:rFonts w:ascii="Gill Sans MT" w:hAnsi="Gill Sans MT" w:cstheme="minorHAnsi"/>
              </w:rPr>
              <w:t>ultidrug</w:t>
            </w:r>
            <w:r w:rsidR="00D3472D" w:rsidRPr="00D443CB">
              <w:rPr>
                <w:rFonts w:ascii="Gill Sans MT" w:hAnsi="Gill Sans MT" w:cstheme="minorHAnsi"/>
              </w:rPr>
              <w:t>-</w:t>
            </w:r>
            <w:r w:rsidRPr="00D443CB">
              <w:rPr>
                <w:rFonts w:ascii="Gill Sans MT" w:hAnsi="Gill Sans MT" w:cstheme="minorHAnsi"/>
              </w:rPr>
              <w:t>r</w:t>
            </w:r>
            <w:r w:rsidR="00F04876" w:rsidRPr="00D443CB">
              <w:rPr>
                <w:rFonts w:ascii="Gill Sans MT" w:hAnsi="Gill Sans MT" w:cstheme="minorHAnsi"/>
              </w:rPr>
              <w:t xml:space="preserve">esistant </w:t>
            </w:r>
            <w:r w:rsidRPr="00D443CB">
              <w:rPr>
                <w:rFonts w:ascii="Gill Sans MT" w:hAnsi="Gill Sans MT" w:cstheme="minorHAnsi"/>
              </w:rPr>
              <w:t>t</w:t>
            </w:r>
            <w:r w:rsidR="00F04876" w:rsidRPr="00D443CB">
              <w:rPr>
                <w:rFonts w:ascii="Gill Sans MT" w:hAnsi="Gill Sans MT" w:cstheme="minorHAnsi"/>
              </w:rPr>
              <w:t>uberculosis</w:t>
            </w:r>
          </w:p>
        </w:tc>
      </w:tr>
      <w:tr w:rsidR="0054153F" w:rsidRPr="00D443CB" w14:paraId="4688B296" w14:textId="77777777" w:rsidTr="007E4DE5">
        <w:tc>
          <w:tcPr>
            <w:tcW w:w="1440" w:type="dxa"/>
            <w:shd w:val="clear" w:color="auto" w:fill="auto"/>
            <w:vAlign w:val="center"/>
          </w:tcPr>
          <w:p w14:paraId="7164E918" w14:textId="670AAB88" w:rsidR="0054153F" w:rsidRPr="00D443CB" w:rsidRDefault="00E27C49" w:rsidP="003F0903">
            <w:pPr>
              <w:spacing w:after="0" w:line="240" w:lineRule="auto"/>
              <w:rPr>
                <w:rFonts w:ascii="Gill Sans MT" w:hAnsi="Gill Sans MT" w:cstheme="minorHAnsi"/>
              </w:rPr>
            </w:pPr>
            <w:r w:rsidRPr="00D443CB">
              <w:rPr>
                <w:rFonts w:ascii="Gill Sans MT" w:hAnsi="Gill Sans MT" w:cs="Calibri"/>
                <w:szCs w:val="24"/>
              </w:rPr>
              <w:t>MoH</w:t>
            </w:r>
          </w:p>
        </w:tc>
        <w:tc>
          <w:tcPr>
            <w:tcW w:w="7830" w:type="dxa"/>
            <w:shd w:val="clear" w:color="auto" w:fill="auto"/>
            <w:vAlign w:val="center"/>
          </w:tcPr>
          <w:p w14:paraId="474F414B" w14:textId="55512A0B"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bCs/>
                <w:iCs/>
              </w:rPr>
              <w:t>Ministry of Health</w:t>
            </w:r>
          </w:p>
        </w:tc>
      </w:tr>
      <w:tr w:rsidR="0054153F" w:rsidRPr="00D443CB" w14:paraId="37B5ABFA" w14:textId="77777777" w:rsidTr="007E4DE5">
        <w:tc>
          <w:tcPr>
            <w:tcW w:w="1440" w:type="dxa"/>
            <w:shd w:val="clear" w:color="auto" w:fill="auto"/>
          </w:tcPr>
          <w:p w14:paraId="05380441" w14:textId="063F74BE"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MTB</w:t>
            </w:r>
          </w:p>
        </w:tc>
        <w:tc>
          <w:tcPr>
            <w:tcW w:w="7830" w:type="dxa"/>
            <w:shd w:val="clear" w:color="auto" w:fill="auto"/>
          </w:tcPr>
          <w:p w14:paraId="5107EA55" w14:textId="4B6E47E2"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i/>
              </w:rPr>
              <w:t>Mycobacterium tuberculosis</w:t>
            </w:r>
            <w:r w:rsidRPr="00D443CB">
              <w:rPr>
                <w:rFonts w:ascii="Gill Sans MT" w:hAnsi="Gill Sans MT" w:cstheme="minorHAnsi"/>
              </w:rPr>
              <w:t xml:space="preserve"> complex bacteria</w:t>
            </w:r>
          </w:p>
        </w:tc>
      </w:tr>
      <w:tr w:rsidR="0054153F" w:rsidRPr="00D443CB" w14:paraId="301159E9" w14:textId="77777777" w:rsidTr="007E4DE5">
        <w:tc>
          <w:tcPr>
            <w:tcW w:w="1440" w:type="dxa"/>
            <w:shd w:val="clear" w:color="auto" w:fill="auto"/>
          </w:tcPr>
          <w:p w14:paraId="06803AC1"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NRL</w:t>
            </w:r>
          </w:p>
        </w:tc>
        <w:tc>
          <w:tcPr>
            <w:tcW w:w="7830" w:type="dxa"/>
            <w:shd w:val="clear" w:color="auto" w:fill="auto"/>
          </w:tcPr>
          <w:p w14:paraId="005AA24F" w14:textId="719DF38E"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n</w:t>
            </w:r>
            <w:r w:rsidR="0054153F" w:rsidRPr="00D443CB">
              <w:rPr>
                <w:rFonts w:ascii="Gill Sans MT" w:hAnsi="Gill Sans MT" w:cstheme="minorHAnsi"/>
              </w:rPr>
              <w:t xml:space="preserve">ational </w:t>
            </w:r>
            <w:r w:rsidRPr="00D443CB">
              <w:rPr>
                <w:rFonts w:ascii="Gill Sans MT" w:hAnsi="Gill Sans MT" w:cstheme="minorHAnsi"/>
              </w:rPr>
              <w:t>r</w:t>
            </w:r>
            <w:r w:rsidR="00F04876" w:rsidRPr="00D443CB">
              <w:rPr>
                <w:rFonts w:ascii="Gill Sans MT" w:hAnsi="Gill Sans MT" w:cstheme="minorHAnsi"/>
              </w:rPr>
              <w:t xml:space="preserve">eference </w:t>
            </w:r>
            <w:r w:rsidRPr="00D443CB">
              <w:rPr>
                <w:rFonts w:ascii="Gill Sans MT" w:hAnsi="Gill Sans MT" w:cstheme="minorHAnsi"/>
              </w:rPr>
              <w:t>L</w:t>
            </w:r>
            <w:r w:rsidR="00F04876" w:rsidRPr="00D443CB">
              <w:rPr>
                <w:rFonts w:ascii="Gill Sans MT" w:hAnsi="Gill Sans MT" w:cstheme="minorHAnsi"/>
              </w:rPr>
              <w:t>aboratory</w:t>
            </w:r>
          </w:p>
        </w:tc>
      </w:tr>
      <w:tr w:rsidR="0054153F" w:rsidRPr="00D443CB" w14:paraId="482F53DF" w14:textId="77777777" w:rsidTr="007E4DE5">
        <w:tc>
          <w:tcPr>
            <w:tcW w:w="1440" w:type="dxa"/>
            <w:shd w:val="clear" w:color="auto" w:fill="auto"/>
          </w:tcPr>
          <w:p w14:paraId="24B315BE"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NSP</w:t>
            </w:r>
          </w:p>
        </w:tc>
        <w:tc>
          <w:tcPr>
            <w:tcW w:w="7830" w:type="dxa"/>
            <w:shd w:val="clear" w:color="auto" w:fill="auto"/>
          </w:tcPr>
          <w:p w14:paraId="0555D093" w14:textId="554B2E67" w:rsidR="0054153F" w:rsidRPr="00D443CB" w:rsidRDefault="002C5006" w:rsidP="003F0903">
            <w:pPr>
              <w:spacing w:after="0" w:line="240" w:lineRule="auto"/>
              <w:rPr>
                <w:rFonts w:ascii="Gill Sans MT" w:hAnsi="Gill Sans MT" w:cstheme="minorHAnsi"/>
              </w:rPr>
            </w:pPr>
            <w:r w:rsidRPr="00D443CB">
              <w:rPr>
                <w:rFonts w:ascii="Gill Sans MT" w:hAnsi="Gill Sans MT" w:cstheme="minorHAnsi"/>
              </w:rPr>
              <w:t>n</w:t>
            </w:r>
            <w:r w:rsidR="0054153F" w:rsidRPr="00D443CB">
              <w:rPr>
                <w:rFonts w:ascii="Gill Sans MT" w:hAnsi="Gill Sans MT" w:cstheme="minorHAnsi"/>
              </w:rPr>
              <w:t xml:space="preserve">ational </w:t>
            </w:r>
            <w:r w:rsidR="009C35AF" w:rsidRPr="00D443CB">
              <w:rPr>
                <w:rFonts w:ascii="Gill Sans MT" w:hAnsi="Gill Sans MT" w:cstheme="minorHAnsi"/>
              </w:rPr>
              <w:t>s</w:t>
            </w:r>
            <w:r w:rsidR="0054153F" w:rsidRPr="00D443CB">
              <w:rPr>
                <w:rFonts w:ascii="Gill Sans MT" w:hAnsi="Gill Sans MT" w:cstheme="minorHAnsi"/>
              </w:rPr>
              <w:t xml:space="preserve">trategic </w:t>
            </w:r>
            <w:r w:rsidRPr="00D443CB">
              <w:rPr>
                <w:rFonts w:ascii="Gill Sans MT" w:hAnsi="Gill Sans MT" w:cstheme="minorHAnsi"/>
              </w:rPr>
              <w:t>p</w:t>
            </w:r>
            <w:r w:rsidR="003C2D14" w:rsidRPr="00D443CB">
              <w:rPr>
                <w:rFonts w:ascii="Gill Sans MT" w:hAnsi="Gill Sans MT" w:cstheme="minorHAnsi"/>
              </w:rPr>
              <w:t>l</w:t>
            </w:r>
            <w:r w:rsidR="0054153F" w:rsidRPr="00D443CB">
              <w:rPr>
                <w:rFonts w:ascii="Gill Sans MT" w:hAnsi="Gill Sans MT" w:cstheme="minorHAnsi"/>
              </w:rPr>
              <w:t xml:space="preserve">an for </w:t>
            </w:r>
            <w:r w:rsidR="009C35AF" w:rsidRPr="00D443CB">
              <w:rPr>
                <w:rFonts w:ascii="Gill Sans MT" w:hAnsi="Gill Sans MT" w:cstheme="minorHAnsi"/>
              </w:rPr>
              <w:t>t</w:t>
            </w:r>
            <w:r w:rsidR="0054153F" w:rsidRPr="00D443CB">
              <w:rPr>
                <w:rFonts w:ascii="Gill Sans MT" w:hAnsi="Gill Sans MT" w:cstheme="minorHAnsi"/>
              </w:rPr>
              <w:t xml:space="preserve">uberculosis </w:t>
            </w:r>
            <w:r w:rsidR="009C35AF" w:rsidRPr="00D443CB">
              <w:rPr>
                <w:rFonts w:ascii="Gill Sans MT" w:hAnsi="Gill Sans MT" w:cstheme="minorHAnsi"/>
              </w:rPr>
              <w:t>e</w:t>
            </w:r>
            <w:r w:rsidR="00F04876" w:rsidRPr="00D443CB">
              <w:rPr>
                <w:rFonts w:ascii="Gill Sans MT" w:hAnsi="Gill Sans MT" w:cstheme="minorHAnsi"/>
              </w:rPr>
              <w:t>limination</w:t>
            </w:r>
          </w:p>
        </w:tc>
      </w:tr>
      <w:tr w:rsidR="00E14C48" w:rsidRPr="00D443CB" w14:paraId="07D16D26" w14:textId="77777777" w:rsidTr="007E4DE5">
        <w:tc>
          <w:tcPr>
            <w:tcW w:w="1440" w:type="dxa"/>
            <w:shd w:val="clear" w:color="auto" w:fill="auto"/>
          </w:tcPr>
          <w:p w14:paraId="41EA71F7" w14:textId="0854FBBD" w:rsidR="00E14C48" w:rsidRPr="00D443CB" w:rsidRDefault="00E14C48" w:rsidP="003F0903">
            <w:pPr>
              <w:spacing w:after="0" w:line="240" w:lineRule="auto"/>
              <w:rPr>
                <w:rFonts w:ascii="Gill Sans MT" w:hAnsi="Gill Sans MT" w:cstheme="minorHAnsi"/>
              </w:rPr>
            </w:pPr>
            <w:r w:rsidRPr="00D443CB">
              <w:rPr>
                <w:rFonts w:ascii="Gill Sans MT" w:hAnsi="Gill Sans MT" w:cstheme="minorHAnsi"/>
              </w:rPr>
              <w:t>NTP</w:t>
            </w:r>
          </w:p>
        </w:tc>
        <w:tc>
          <w:tcPr>
            <w:tcW w:w="7830" w:type="dxa"/>
            <w:shd w:val="clear" w:color="auto" w:fill="auto"/>
          </w:tcPr>
          <w:p w14:paraId="5A22E5A9" w14:textId="2D63B7F9" w:rsidR="00E14C48" w:rsidRPr="00D443CB" w:rsidRDefault="00E14C48" w:rsidP="003F0903">
            <w:pPr>
              <w:spacing w:after="0" w:line="240" w:lineRule="auto"/>
              <w:rPr>
                <w:rFonts w:ascii="Gill Sans MT" w:hAnsi="Gill Sans MT" w:cstheme="minorHAnsi"/>
              </w:rPr>
            </w:pPr>
            <w:r w:rsidRPr="00D443CB">
              <w:rPr>
                <w:rFonts w:ascii="Gill Sans MT" w:hAnsi="Gill Sans MT" w:cstheme="minorHAnsi"/>
              </w:rPr>
              <w:t>National TB Program</w:t>
            </w:r>
          </w:p>
        </w:tc>
      </w:tr>
      <w:tr w:rsidR="0054153F" w:rsidRPr="00D443CB" w14:paraId="00D21255" w14:textId="77777777" w:rsidTr="007E4DE5">
        <w:tc>
          <w:tcPr>
            <w:tcW w:w="1440" w:type="dxa"/>
            <w:shd w:val="clear" w:color="auto" w:fill="auto"/>
          </w:tcPr>
          <w:p w14:paraId="5AB15BE4" w14:textId="549A1867" w:rsidR="0054153F" w:rsidRPr="00D443CB" w:rsidRDefault="0054153F" w:rsidP="003F0903">
            <w:pPr>
              <w:pStyle w:val="Default"/>
              <w:rPr>
                <w:rFonts w:ascii="Gill Sans MT" w:hAnsi="Gill Sans MT" w:cstheme="minorHAnsi"/>
                <w:sz w:val="22"/>
                <w:szCs w:val="22"/>
              </w:rPr>
            </w:pPr>
            <w:r w:rsidRPr="00D443CB">
              <w:rPr>
                <w:rFonts w:ascii="Gill Sans MT" w:hAnsi="Gill Sans MT" w:cstheme="minorHAnsi"/>
                <w:sz w:val="22"/>
                <w:szCs w:val="22"/>
              </w:rPr>
              <w:t>PLHIV</w:t>
            </w:r>
          </w:p>
        </w:tc>
        <w:tc>
          <w:tcPr>
            <w:tcW w:w="7830" w:type="dxa"/>
            <w:shd w:val="clear" w:color="auto" w:fill="auto"/>
          </w:tcPr>
          <w:p w14:paraId="611F1769" w14:textId="23D183E7"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p</w:t>
            </w:r>
            <w:r w:rsidR="0054153F" w:rsidRPr="00D443CB">
              <w:rPr>
                <w:rFonts w:ascii="Gill Sans MT" w:hAnsi="Gill Sans MT" w:cstheme="minorHAnsi"/>
              </w:rPr>
              <w:t xml:space="preserve">eople </w:t>
            </w:r>
            <w:r w:rsidRPr="00D443CB">
              <w:rPr>
                <w:rFonts w:ascii="Gill Sans MT" w:hAnsi="Gill Sans MT" w:cstheme="minorHAnsi"/>
              </w:rPr>
              <w:t>l</w:t>
            </w:r>
            <w:r w:rsidR="00F04876" w:rsidRPr="00D443CB">
              <w:rPr>
                <w:rFonts w:ascii="Gill Sans MT" w:hAnsi="Gill Sans MT" w:cstheme="minorHAnsi"/>
              </w:rPr>
              <w:t xml:space="preserve">iving </w:t>
            </w:r>
            <w:r w:rsidR="0054153F" w:rsidRPr="00D443CB">
              <w:rPr>
                <w:rFonts w:ascii="Gill Sans MT" w:hAnsi="Gill Sans MT" w:cstheme="minorHAnsi"/>
              </w:rPr>
              <w:t>with HIV</w:t>
            </w:r>
          </w:p>
        </w:tc>
      </w:tr>
      <w:tr w:rsidR="0054153F" w:rsidRPr="00D443CB" w14:paraId="09E74642" w14:textId="77777777" w:rsidTr="007E4DE5">
        <w:tc>
          <w:tcPr>
            <w:tcW w:w="1440" w:type="dxa"/>
            <w:shd w:val="clear" w:color="auto" w:fill="auto"/>
          </w:tcPr>
          <w:p w14:paraId="1615EBAC" w14:textId="0D226AFB"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PPE</w:t>
            </w:r>
          </w:p>
        </w:tc>
        <w:tc>
          <w:tcPr>
            <w:tcW w:w="7830" w:type="dxa"/>
            <w:shd w:val="clear" w:color="auto" w:fill="auto"/>
          </w:tcPr>
          <w:p w14:paraId="61FEE014" w14:textId="285B1F94"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p</w:t>
            </w:r>
            <w:r w:rsidR="0054153F" w:rsidRPr="00D443CB">
              <w:rPr>
                <w:rFonts w:ascii="Gill Sans MT" w:hAnsi="Gill Sans MT" w:cstheme="minorHAnsi"/>
              </w:rPr>
              <w:t xml:space="preserve">ersonal </w:t>
            </w:r>
            <w:r w:rsidRPr="00D443CB">
              <w:rPr>
                <w:rFonts w:ascii="Gill Sans MT" w:hAnsi="Gill Sans MT" w:cstheme="minorHAnsi"/>
              </w:rPr>
              <w:t>p</w:t>
            </w:r>
            <w:r w:rsidR="0054153F" w:rsidRPr="00D443CB">
              <w:rPr>
                <w:rFonts w:ascii="Gill Sans MT" w:hAnsi="Gill Sans MT" w:cstheme="minorHAnsi"/>
              </w:rPr>
              <w:t>rotecti</w:t>
            </w:r>
            <w:r w:rsidR="009860F7" w:rsidRPr="00D443CB">
              <w:rPr>
                <w:rFonts w:ascii="Gill Sans MT" w:hAnsi="Gill Sans MT" w:cstheme="minorHAnsi"/>
              </w:rPr>
              <w:t>ve</w:t>
            </w:r>
            <w:r w:rsidR="0054153F" w:rsidRPr="00D443CB">
              <w:rPr>
                <w:rFonts w:ascii="Gill Sans MT" w:hAnsi="Gill Sans MT" w:cstheme="minorHAnsi"/>
              </w:rPr>
              <w:t xml:space="preserve"> </w:t>
            </w:r>
            <w:r w:rsidRPr="00D443CB">
              <w:rPr>
                <w:rFonts w:ascii="Gill Sans MT" w:hAnsi="Gill Sans MT" w:cstheme="minorHAnsi"/>
              </w:rPr>
              <w:t>e</w:t>
            </w:r>
            <w:r w:rsidR="0054153F" w:rsidRPr="00D443CB">
              <w:rPr>
                <w:rFonts w:ascii="Gill Sans MT" w:hAnsi="Gill Sans MT" w:cstheme="minorHAnsi"/>
              </w:rPr>
              <w:t>quipment</w:t>
            </w:r>
          </w:p>
        </w:tc>
      </w:tr>
      <w:tr w:rsidR="0054153F" w:rsidRPr="00D443CB" w14:paraId="3B83A1A9" w14:textId="77777777" w:rsidTr="007E4DE5">
        <w:tc>
          <w:tcPr>
            <w:tcW w:w="1440" w:type="dxa"/>
            <w:shd w:val="clear" w:color="auto" w:fill="auto"/>
          </w:tcPr>
          <w:p w14:paraId="087F0BD3"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QA</w:t>
            </w:r>
          </w:p>
        </w:tc>
        <w:tc>
          <w:tcPr>
            <w:tcW w:w="7830" w:type="dxa"/>
            <w:shd w:val="clear" w:color="auto" w:fill="auto"/>
          </w:tcPr>
          <w:p w14:paraId="0CF559D3" w14:textId="3D92CDCC"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q</w:t>
            </w:r>
            <w:r w:rsidR="0054153F" w:rsidRPr="00D443CB">
              <w:rPr>
                <w:rFonts w:ascii="Gill Sans MT" w:hAnsi="Gill Sans MT" w:cstheme="minorHAnsi"/>
              </w:rPr>
              <w:t xml:space="preserve">uality </w:t>
            </w:r>
            <w:r w:rsidRPr="00D443CB">
              <w:rPr>
                <w:rFonts w:ascii="Gill Sans MT" w:hAnsi="Gill Sans MT" w:cstheme="minorHAnsi"/>
              </w:rPr>
              <w:t>a</w:t>
            </w:r>
            <w:r w:rsidR="00F04876" w:rsidRPr="00D443CB">
              <w:rPr>
                <w:rFonts w:ascii="Gill Sans MT" w:hAnsi="Gill Sans MT" w:cstheme="minorHAnsi"/>
              </w:rPr>
              <w:t>ssessment</w:t>
            </w:r>
          </w:p>
        </w:tc>
      </w:tr>
      <w:tr w:rsidR="0054153F" w:rsidRPr="00D443CB" w14:paraId="35C16872" w14:textId="77777777" w:rsidTr="007E4DE5">
        <w:tc>
          <w:tcPr>
            <w:tcW w:w="1440" w:type="dxa"/>
            <w:shd w:val="clear" w:color="auto" w:fill="auto"/>
          </w:tcPr>
          <w:p w14:paraId="43DD981A" w14:textId="77777777" w:rsidR="0054153F" w:rsidRPr="00D443CB" w:rsidRDefault="0054153F" w:rsidP="003F0903">
            <w:pPr>
              <w:autoSpaceDE w:val="0"/>
              <w:autoSpaceDN w:val="0"/>
              <w:adjustRightInd w:val="0"/>
              <w:spacing w:after="0" w:line="240" w:lineRule="auto"/>
              <w:rPr>
                <w:rFonts w:ascii="Gill Sans MT" w:hAnsi="Gill Sans MT" w:cstheme="minorHAnsi"/>
              </w:rPr>
            </w:pPr>
            <w:r w:rsidRPr="00D443CB">
              <w:rPr>
                <w:rFonts w:ascii="Gill Sans MT" w:hAnsi="Gill Sans MT" w:cstheme="minorHAnsi"/>
              </w:rPr>
              <w:t>QC</w:t>
            </w:r>
          </w:p>
        </w:tc>
        <w:tc>
          <w:tcPr>
            <w:tcW w:w="7830" w:type="dxa"/>
            <w:shd w:val="clear" w:color="auto" w:fill="auto"/>
          </w:tcPr>
          <w:p w14:paraId="2720F0C4" w14:textId="1516B6C0"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q</w:t>
            </w:r>
            <w:r w:rsidR="0054153F" w:rsidRPr="00D443CB">
              <w:rPr>
                <w:rFonts w:ascii="Gill Sans MT" w:hAnsi="Gill Sans MT" w:cstheme="minorHAnsi"/>
              </w:rPr>
              <w:t xml:space="preserve">uality </w:t>
            </w:r>
            <w:r w:rsidRPr="00D443CB">
              <w:rPr>
                <w:rFonts w:ascii="Gill Sans MT" w:hAnsi="Gill Sans MT" w:cstheme="minorHAnsi"/>
              </w:rPr>
              <w:t>c</w:t>
            </w:r>
            <w:r w:rsidR="0054153F" w:rsidRPr="00D443CB">
              <w:rPr>
                <w:rFonts w:ascii="Gill Sans MT" w:hAnsi="Gill Sans MT" w:cstheme="minorHAnsi"/>
              </w:rPr>
              <w:t>ontrol</w:t>
            </w:r>
          </w:p>
        </w:tc>
      </w:tr>
      <w:tr w:rsidR="0054153F" w:rsidRPr="00D443CB" w14:paraId="7AB35F31" w14:textId="77777777" w:rsidTr="007E4DE5">
        <w:tc>
          <w:tcPr>
            <w:tcW w:w="1440" w:type="dxa"/>
            <w:shd w:val="clear" w:color="auto" w:fill="auto"/>
          </w:tcPr>
          <w:p w14:paraId="57D09DB4"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QMS</w:t>
            </w:r>
          </w:p>
        </w:tc>
        <w:tc>
          <w:tcPr>
            <w:tcW w:w="7830" w:type="dxa"/>
            <w:shd w:val="clear" w:color="auto" w:fill="auto"/>
          </w:tcPr>
          <w:p w14:paraId="793ED662" w14:textId="680D9B62"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q</w:t>
            </w:r>
            <w:r w:rsidR="0054153F" w:rsidRPr="00D443CB">
              <w:rPr>
                <w:rFonts w:ascii="Gill Sans MT" w:hAnsi="Gill Sans MT" w:cstheme="minorHAnsi"/>
              </w:rPr>
              <w:t xml:space="preserve">uality </w:t>
            </w:r>
            <w:r w:rsidRPr="00D443CB">
              <w:rPr>
                <w:rFonts w:ascii="Gill Sans MT" w:hAnsi="Gill Sans MT" w:cstheme="minorHAnsi"/>
              </w:rPr>
              <w:t>m</w:t>
            </w:r>
            <w:r w:rsidR="00F04876" w:rsidRPr="00D443CB">
              <w:rPr>
                <w:rFonts w:ascii="Gill Sans MT" w:hAnsi="Gill Sans MT" w:cstheme="minorHAnsi"/>
              </w:rPr>
              <w:t xml:space="preserve">anagement </w:t>
            </w:r>
            <w:r w:rsidRPr="00D443CB">
              <w:rPr>
                <w:rFonts w:ascii="Gill Sans MT" w:hAnsi="Gill Sans MT" w:cstheme="minorHAnsi"/>
              </w:rPr>
              <w:t>s</w:t>
            </w:r>
            <w:r w:rsidR="00F04876" w:rsidRPr="00D443CB">
              <w:rPr>
                <w:rFonts w:ascii="Gill Sans MT" w:hAnsi="Gill Sans MT" w:cstheme="minorHAnsi"/>
              </w:rPr>
              <w:t>ystem</w:t>
            </w:r>
          </w:p>
        </w:tc>
      </w:tr>
      <w:tr w:rsidR="0054153F" w:rsidRPr="00D443CB" w14:paraId="6A689A9C" w14:textId="77777777" w:rsidTr="007E4DE5">
        <w:tc>
          <w:tcPr>
            <w:tcW w:w="1440" w:type="dxa"/>
            <w:shd w:val="clear" w:color="auto" w:fill="auto"/>
          </w:tcPr>
          <w:p w14:paraId="508132D0" w14:textId="2CD890DC"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RR-TB</w:t>
            </w:r>
          </w:p>
        </w:tc>
        <w:tc>
          <w:tcPr>
            <w:tcW w:w="7830" w:type="dxa"/>
            <w:shd w:val="clear" w:color="auto" w:fill="auto"/>
          </w:tcPr>
          <w:p w14:paraId="07873E2B" w14:textId="443C4D7C"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r</w:t>
            </w:r>
            <w:r w:rsidR="0054153F" w:rsidRPr="00D443CB">
              <w:rPr>
                <w:rFonts w:ascii="Gill Sans MT" w:hAnsi="Gill Sans MT" w:cstheme="minorHAnsi"/>
              </w:rPr>
              <w:t>ifampicin</w:t>
            </w:r>
            <w:r w:rsidR="00D3472D" w:rsidRPr="00D443CB">
              <w:rPr>
                <w:rFonts w:ascii="Gill Sans MT" w:hAnsi="Gill Sans MT" w:cstheme="minorHAnsi"/>
              </w:rPr>
              <w:t>-</w:t>
            </w:r>
            <w:r w:rsidRPr="00D443CB">
              <w:rPr>
                <w:rFonts w:ascii="Gill Sans MT" w:hAnsi="Gill Sans MT" w:cstheme="minorHAnsi"/>
              </w:rPr>
              <w:t>r</w:t>
            </w:r>
            <w:r w:rsidR="00F04876" w:rsidRPr="00D443CB">
              <w:rPr>
                <w:rFonts w:ascii="Gill Sans MT" w:hAnsi="Gill Sans MT" w:cstheme="minorHAnsi"/>
              </w:rPr>
              <w:t xml:space="preserve">esistant </w:t>
            </w:r>
            <w:r w:rsidRPr="00D443CB">
              <w:rPr>
                <w:rFonts w:ascii="Gill Sans MT" w:hAnsi="Gill Sans MT" w:cstheme="minorHAnsi"/>
              </w:rPr>
              <w:t>t</w:t>
            </w:r>
            <w:r w:rsidR="00F04876" w:rsidRPr="00D443CB">
              <w:rPr>
                <w:rFonts w:ascii="Gill Sans MT" w:hAnsi="Gill Sans MT" w:cstheme="minorHAnsi"/>
              </w:rPr>
              <w:t>uberculosis</w:t>
            </w:r>
          </w:p>
        </w:tc>
      </w:tr>
      <w:tr w:rsidR="0054153F" w:rsidRPr="00D443CB" w14:paraId="35BFFF5E" w14:textId="77777777" w:rsidTr="007E4DE5">
        <w:tc>
          <w:tcPr>
            <w:tcW w:w="1440" w:type="dxa"/>
            <w:shd w:val="clear" w:color="auto" w:fill="auto"/>
          </w:tcPr>
          <w:p w14:paraId="6D5A525F"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SLID</w:t>
            </w:r>
          </w:p>
        </w:tc>
        <w:tc>
          <w:tcPr>
            <w:tcW w:w="7830" w:type="dxa"/>
            <w:shd w:val="clear" w:color="auto" w:fill="auto"/>
          </w:tcPr>
          <w:p w14:paraId="3D16FBA0" w14:textId="541AD0B1"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s</w:t>
            </w:r>
            <w:r w:rsidR="0054153F" w:rsidRPr="00D443CB">
              <w:rPr>
                <w:rFonts w:ascii="Gill Sans MT" w:hAnsi="Gill Sans MT" w:cstheme="minorHAnsi"/>
              </w:rPr>
              <w:t>econd-</w:t>
            </w:r>
            <w:r w:rsidRPr="00D443CB">
              <w:rPr>
                <w:rFonts w:ascii="Gill Sans MT" w:hAnsi="Gill Sans MT" w:cstheme="minorHAnsi"/>
              </w:rPr>
              <w:t>l</w:t>
            </w:r>
            <w:r w:rsidR="00F04876" w:rsidRPr="00D443CB">
              <w:rPr>
                <w:rFonts w:ascii="Gill Sans MT" w:hAnsi="Gill Sans MT" w:cstheme="minorHAnsi"/>
              </w:rPr>
              <w:t xml:space="preserve">ine </w:t>
            </w:r>
            <w:r w:rsidRPr="00D443CB">
              <w:rPr>
                <w:rFonts w:ascii="Gill Sans MT" w:hAnsi="Gill Sans MT" w:cstheme="minorHAnsi"/>
              </w:rPr>
              <w:t>i</w:t>
            </w:r>
            <w:r w:rsidR="00F04876" w:rsidRPr="00D443CB">
              <w:rPr>
                <w:rFonts w:ascii="Gill Sans MT" w:hAnsi="Gill Sans MT" w:cstheme="minorHAnsi"/>
              </w:rPr>
              <w:t xml:space="preserve">njectable </w:t>
            </w:r>
            <w:r w:rsidR="0054153F" w:rsidRPr="00D443CB">
              <w:rPr>
                <w:rFonts w:ascii="Gill Sans MT" w:hAnsi="Gill Sans MT" w:cstheme="minorHAnsi"/>
              </w:rPr>
              <w:t>anti-TB drug (</w:t>
            </w:r>
            <w:r w:rsidR="006574D2" w:rsidRPr="00D443CB">
              <w:rPr>
                <w:rFonts w:ascii="Gill Sans MT" w:hAnsi="Gill Sans MT" w:cstheme="minorHAnsi"/>
              </w:rPr>
              <w:t>i.e.</w:t>
            </w:r>
            <w:r w:rsidR="0054153F" w:rsidRPr="00D443CB">
              <w:rPr>
                <w:rFonts w:ascii="Gill Sans MT" w:hAnsi="Gill Sans MT" w:cstheme="minorHAnsi"/>
              </w:rPr>
              <w:t xml:space="preserve">, </w:t>
            </w:r>
            <w:r w:rsidR="005805FA" w:rsidRPr="00D443CB">
              <w:rPr>
                <w:rFonts w:ascii="Gill Sans MT" w:hAnsi="Gill Sans MT" w:cstheme="minorHAnsi"/>
              </w:rPr>
              <w:t>k</w:t>
            </w:r>
            <w:r w:rsidR="00F04876" w:rsidRPr="00D443CB">
              <w:rPr>
                <w:rFonts w:ascii="Gill Sans MT" w:hAnsi="Gill Sans MT" w:cstheme="minorHAnsi"/>
              </w:rPr>
              <w:t>anamycin</w:t>
            </w:r>
            <w:r w:rsidR="0054153F" w:rsidRPr="00D443CB">
              <w:rPr>
                <w:rFonts w:ascii="Gill Sans MT" w:hAnsi="Gill Sans MT" w:cstheme="minorHAnsi"/>
              </w:rPr>
              <w:t xml:space="preserve">, </w:t>
            </w:r>
            <w:r w:rsidR="005805FA" w:rsidRPr="00D443CB">
              <w:rPr>
                <w:rFonts w:ascii="Gill Sans MT" w:hAnsi="Gill Sans MT" w:cstheme="minorHAnsi"/>
              </w:rPr>
              <w:t>c</w:t>
            </w:r>
            <w:r w:rsidR="00F04876" w:rsidRPr="00D443CB">
              <w:rPr>
                <w:rFonts w:ascii="Gill Sans MT" w:hAnsi="Gill Sans MT" w:cstheme="minorHAnsi"/>
              </w:rPr>
              <w:t xml:space="preserve">apreomycin </w:t>
            </w:r>
            <w:r w:rsidR="0054153F" w:rsidRPr="00D443CB">
              <w:rPr>
                <w:rFonts w:ascii="Gill Sans MT" w:hAnsi="Gill Sans MT" w:cstheme="minorHAnsi"/>
              </w:rPr>
              <w:t xml:space="preserve">or </w:t>
            </w:r>
            <w:r w:rsidR="005805FA" w:rsidRPr="00D443CB">
              <w:rPr>
                <w:rFonts w:ascii="Gill Sans MT" w:hAnsi="Gill Sans MT" w:cstheme="minorHAnsi"/>
              </w:rPr>
              <w:t>a</w:t>
            </w:r>
            <w:r w:rsidR="00F04876" w:rsidRPr="00D443CB">
              <w:rPr>
                <w:rFonts w:ascii="Gill Sans MT" w:hAnsi="Gill Sans MT" w:cstheme="minorHAnsi"/>
              </w:rPr>
              <w:t>mikacin</w:t>
            </w:r>
            <w:r w:rsidR="0054153F" w:rsidRPr="00D443CB">
              <w:rPr>
                <w:rFonts w:ascii="Gill Sans MT" w:hAnsi="Gill Sans MT" w:cstheme="minorHAnsi"/>
              </w:rPr>
              <w:t>)</w:t>
            </w:r>
          </w:p>
        </w:tc>
      </w:tr>
      <w:tr w:rsidR="0054153F" w:rsidRPr="00D443CB" w14:paraId="4C8438B1" w14:textId="77777777" w:rsidTr="007E4DE5">
        <w:tc>
          <w:tcPr>
            <w:tcW w:w="1440" w:type="dxa"/>
            <w:shd w:val="clear" w:color="auto" w:fill="auto"/>
          </w:tcPr>
          <w:p w14:paraId="21B4959D"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SL-LPA</w:t>
            </w:r>
          </w:p>
        </w:tc>
        <w:tc>
          <w:tcPr>
            <w:tcW w:w="7830" w:type="dxa"/>
            <w:shd w:val="clear" w:color="auto" w:fill="auto"/>
          </w:tcPr>
          <w:p w14:paraId="27DC610F" w14:textId="054EC91F"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s</w:t>
            </w:r>
            <w:r w:rsidR="0054153F" w:rsidRPr="00D443CB">
              <w:rPr>
                <w:rFonts w:ascii="Gill Sans MT" w:hAnsi="Gill Sans MT" w:cstheme="minorHAnsi"/>
              </w:rPr>
              <w:t>econd-</w:t>
            </w:r>
            <w:r w:rsidRPr="00D443CB">
              <w:rPr>
                <w:rFonts w:ascii="Gill Sans MT" w:hAnsi="Gill Sans MT" w:cstheme="minorHAnsi"/>
              </w:rPr>
              <w:t>l</w:t>
            </w:r>
            <w:r w:rsidR="00F04876" w:rsidRPr="00D443CB">
              <w:rPr>
                <w:rFonts w:ascii="Gill Sans MT" w:hAnsi="Gill Sans MT" w:cstheme="minorHAnsi"/>
              </w:rPr>
              <w:t xml:space="preserve">ine </w:t>
            </w:r>
            <w:r w:rsidRPr="00D443CB">
              <w:rPr>
                <w:rFonts w:ascii="Gill Sans MT" w:hAnsi="Gill Sans MT" w:cstheme="minorHAnsi"/>
              </w:rPr>
              <w:t>l</w:t>
            </w:r>
            <w:r w:rsidR="00F04876" w:rsidRPr="00D443CB">
              <w:rPr>
                <w:rFonts w:ascii="Gill Sans MT" w:hAnsi="Gill Sans MT" w:cstheme="minorHAnsi"/>
              </w:rPr>
              <w:t>ine</w:t>
            </w:r>
            <w:r w:rsidR="0054153F" w:rsidRPr="00D443CB">
              <w:rPr>
                <w:rFonts w:ascii="Gill Sans MT" w:hAnsi="Gill Sans MT" w:cstheme="minorHAnsi"/>
              </w:rPr>
              <w:t>-</w:t>
            </w:r>
            <w:r w:rsidRPr="00D443CB">
              <w:rPr>
                <w:rFonts w:ascii="Gill Sans MT" w:hAnsi="Gill Sans MT" w:cstheme="minorHAnsi"/>
              </w:rPr>
              <w:t>p</w:t>
            </w:r>
            <w:r w:rsidR="00F04876" w:rsidRPr="00D443CB">
              <w:rPr>
                <w:rFonts w:ascii="Gill Sans MT" w:hAnsi="Gill Sans MT" w:cstheme="minorHAnsi"/>
              </w:rPr>
              <w:t xml:space="preserve">robe </w:t>
            </w:r>
            <w:r w:rsidRPr="00D443CB">
              <w:rPr>
                <w:rFonts w:ascii="Gill Sans MT" w:hAnsi="Gill Sans MT" w:cstheme="minorHAnsi"/>
              </w:rPr>
              <w:t>a</w:t>
            </w:r>
            <w:r w:rsidR="00F04876" w:rsidRPr="00D443CB">
              <w:rPr>
                <w:rFonts w:ascii="Gill Sans MT" w:hAnsi="Gill Sans MT" w:cstheme="minorHAnsi"/>
              </w:rPr>
              <w:t>ssay</w:t>
            </w:r>
          </w:p>
        </w:tc>
      </w:tr>
      <w:tr w:rsidR="0054153F" w:rsidRPr="00D443CB" w14:paraId="386AFAF4" w14:textId="77777777" w:rsidTr="007E4DE5">
        <w:tc>
          <w:tcPr>
            <w:tcW w:w="1440" w:type="dxa"/>
            <w:shd w:val="clear" w:color="auto" w:fill="auto"/>
          </w:tcPr>
          <w:p w14:paraId="077FB9A4"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SOP</w:t>
            </w:r>
          </w:p>
        </w:tc>
        <w:tc>
          <w:tcPr>
            <w:tcW w:w="7830" w:type="dxa"/>
            <w:shd w:val="clear" w:color="auto" w:fill="auto"/>
          </w:tcPr>
          <w:p w14:paraId="4A018C2A" w14:textId="11488B24"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s</w:t>
            </w:r>
            <w:r w:rsidR="0054153F" w:rsidRPr="00D443CB">
              <w:rPr>
                <w:rFonts w:ascii="Gill Sans MT" w:hAnsi="Gill Sans MT" w:cstheme="minorHAnsi"/>
              </w:rPr>
              <w:t xml:space="preserve">tandard </w:t>
            </w:r>
            <w:r w:rsidRPr="00D443CB">
              <w:rPr>
                <w:rFonts w:ascii="Gill Sans MT" w:hAnsi="Gill Sans MT" w:cstheme="minorHAnsi"/>
              </w:rPr>
              <w:t>o</w:t>
            </w:r>
            <w:r w:rsidR="00F04876" w:rsidRPr="00D443CB">
              <w:rPr>
                <w:rFonts w:ascii="Gill Sans MT" w:hAnsi="Gill Sans MT" w:cstheme="minorHAnsi"/>
              </w:rPr>
              <w:t xml:space="preserve">perating </w:t>
            </w:r>
            <w:r w:rsidRPr="00D443CB">
              <w:rPr>
                <w:rFonts w:ascii="Gill Sans MT" w:hAnsi="Gill Sans MT" w:cstheme="minorHAnsi"/>
              </w:rPr>
              <w:t>p</w:t>
            </w:r>
            <w:r w:rsidR="00F04876" w:rsidRPr="00D443CB">
              <w:rPr>
                <w:rFonts w:ascii="Gill Sans MT" w:hAnsi="Gill Sans MT" w:cstheme="minorHAnsi"/>
              </w:rPr>
              <w:t>rocedure</w:t>
            </w:r>
          </w:p>
        </w:tc>
      </w:tr>
      <w:tr w:rsidR="0054153F" w:rsidRPr="00D443CB" w14:paraId="0E49188A" w14:textId="77777777" w:rsidTr="007E4DE5">
        <w:tc>
          <w:tcPr>
            <w:tcW w:w="1440" w:type="dxa"/>
            <w:shd w:val="clear" w:color="auto" w:fill="auto"/>
          </w:tcPr>
          <w:p w14:paraId="7B2A385B"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SRL</w:t>
            </w:r>
          </w:p>
        </w:tc>
        <w:tc>
          <w:tcPr>
            <w:tcW w:w="7830" w:type="dxa"/>
            <w:shd w:val="clear" w:color="auto" w:fill="auto"/>
          </w:tcPr>
          <w:p w14:paraId="1DC0F379" w14:textId="0385FF9F"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s</w:t>
            </w:r>
            <w:r w:rsidR="0054153F" w:rsidRPr="00D443CB">
              <w:rPr>
                <w:rFonts w:ascii="Gill Sans MT" w:hAnsi="Gill Sans MT" w:cstheme="minorHAnsi"/>
              </w:rPr>
              <w:t xml:space="preserve">upranational </w:t>
            </w:r>
            <w:r w:rsidRPr="00D443CB">
              <w:rPr>
                <w:rFonts w:ascii="Gill Sans MT" w:hAnsi="Gill Sans MT" w:cstheme="minorHAnsi"/>
              </w:rPr>
              <w:t>r</w:t>
            </w:r>
            <w:r w:rsidR="00F04876" w:rsidRPr="00D443CB">
              <w:rPr>
                <w:rFonts w:ascii="Gill Sans MT" w:hAnsi="Gill Sans MT" w:cstheme="minorHAnsi"/>
              </w:rPr>
              <w:t xml:space="preserve">eference </w:t>
            </w:r>
            <w:r w:rsidRPr="00D443CB">
              <w:rPr>
                <w:rFonts w:ascii="Gill Sans MT" w:hAnsi="Gill Sans MT" w:cstheme="minorHAnsi"/>
              </w:rPr>
              <w:t>l</w:t>
            </w:r>
            <w:r w:rsidR="00F04876" w:rsidRPr="00D443CB">
              <w:rPr>
                <w:rFonts w:ascii="Gill Sans MT" w:hAnsi="Gill Sans MT" w:cstheme="minorHAnsi"/>
              </w:rPr>
              <w:t>aboratory</w:t>
            </w:r>
          </w:p>
        </w:tc>
      </w:tr>
      <w:tr w:rsidR="0054153F" w:rsidRPr="00D443CB" w14:paraId="02EA5A94" w14:textId="77777777" w:rsidTr="007E4DE5">
        <w:tc>
          <w:tcPr>
            <w:tcW w:w="1440" w:type="dxa"/>
            <w:shd w:val="clear" w:color="auto" w:fill="auto"/>
          </w:tcPr>
          <w:p w14:paraId="35B97966"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 xml:space="preserve">TB </w:t>
            </w:r>
          </w:p>
        </w:tc>
        <w:tc>
          <w:tcPr>
            <w:tcW w:w="7830" w:type="dxa"/>
            <w:shd w:val="clear" w:color="auto" w:fill="auto"/>
          </w:tcPr>
          <w:p w14:paraId="27730743" w14:textId="46AC24B1"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t</w:t>
            </w:r>
            <w:r w:rsidR="0054153F" w:rsidRPr="00D443CB">
              <w:rPr>
                <w:rFonts w:ascii="Gill Sans MT" w:hAnsi="Gill Sans MT" w:cstheme="minorHAnsi"/>
              </w:rPr>
              <w:t>uberculosis</w:t>
            </w:r>
          </w:p>
        </w:tc>
      </w:tr>
      <w:tr w:rsidR="0054153F" w:rsidRPr="00D443CB" w14:paraId="4B8D46D1" w14:textId="77777777" w:rsidTr="007E4DE5">
        <w:tc>
          <w:tcPr>
            <w:tcW w:w="1440" w:type="dxa"/>
            <w:shd w:val="clear" w:color="auto" w:fill="auto"/>
          </w:tcPr>
          <w:p w14:paraId="73A18CF2" w14:textId="429D0EAE"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ToR</w:t>
            </w:r>
          </w:p>
        </w:tc>
        <w:tc>
          <w:tcPr>
            <w:tcW w:w="7830" w:type="dxa"/>
            <w:shd w:val="clear" w:color="auto" w:fill="auto"/>
          </w:tcPr>
          <w:p w14:paraId="17A90E10" w14:textId="425923DC" w:rsidR="0054153F" w:rsidRPr="00D443CB" w:rsidRDefault="009C35AF" w:rsidP="003F0903">
            <w:pPr>
              <w:spacing w:after="0" w:line="240" w:lineRule="auto"/>
              <w:rPr>
                <w:rFonts w:ascii="Gill Sans MT" w:hAnsi="Gill Sans MT" w:cstheme="minorHAnsi"/>
              </w:rPr>
            </w:pPr>
            <w:r w:rsidRPr="00D443CB">
              <w:rPr>
                <w:rFonts w:ascii="Gill Sans MT" w:hAnsi="Gill Sans MT" w:cstheme="minorHAnsi"/>
              </w:rPr>
              <w:t>t</w:t>
            </w:r>
            <w:r w:rsidR="0054153F" w:rsidRPr="00D443CB">
              <w:rPr>
                <w:rFonts w:ascii="Gill Sans MT" w:hAnsi="Gill Sans MT" w:cstheme="minorHAnsi"/>
              </w:rPr>
              <w:t xml:space="preserve">erms of </w:t>
            </w:r>
            <w:r w:rsidRPr="00D443CB">
              <w:rPr>
                <w:rFonts w:ascii="Gill Sans MT" w:hAnsi="Gill Sans MT" w:cstheme="minorHAnsi"/>
              </w:rPr>
              <w:t>r</w:t>
            </w:r>
            <w:r w:rsidR="00F04876" w:rsidRPr="00D443CB">
              <w:rPr>
                <w:rFonts w:ascii="Gill Sans MT" w:hAnsi="Gill Sans MT" w:cstheme="minorHAnsi"/>
              </w:rPr>
              <w:t>eference</w:t>
            </w:r>
          </w:p>
        </w:tc>
      </w:tr>
      <w:tr w:rsidR="0054153F" w:rsidRPr="00D443CB" w14:paraId="43EE76F9" w14:textId="77777777" w:rsidTr="007E4DE5">
        <w:tc>
          <w:tcPr>
            <w:tcW w:w="1440" w:type="dxa"/>
            <w:shd w:val="clear" w:color="auto" w:fill="auto"/>
          </w:tcPr>
          <w:p w14:paraId="3C26D9FA" w14:textId="77777777" w:rsidR="0054153F" w:rsidRPr="00D443CB" w:rsidRDefault="0054153F" w:rsidP="003F0903">
            <w:pPr>
              <w:pStyle w:val="Default"/>
              <w:rPr>
                <w:rFonts w:ascii="Gill Sans MT" w:hAnsi="Gill Sans MT" w:cstheme="minorHAnsi"/>
                <w:sz w:val="22"/>
                <w:szCs w:val="22"/>
              </w:rPr>
            </w:pPr>
            <w:r w:rsidRPr="00D443CB">
              <w:rPr>
                <w:rFonts w:ascii="Gill Sans MT" w:hAnsi="Gill Sans MT" w:cstheme="minorHAnsi"/>
                <w:sz w:val="22"/>
                <w:szCs w:val="22"/>
              </w:rPr>
              <w:t xml:space="preserve">USAID </w:t>
            </w:r>
          </w:p>
        </w:tc>
        <w:tc>
          <w:tcPr>
            <w:tcW w:w="7830" w:type="dxa"/>
            <w:shd w:val="clear" w:color="auto" w:fill="auto"/>
          </w:tcPr>
          <w:p w14:paraId="39852523"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United States Agency for International Development</w:t>
            </w:r>
          </w:p>
        </w:tc>
      </w:tr>
      <w:tr w:rsidR="0054153F" w:rsidRPr="00D443CB" w14:paraId="5B692916" w14:textId="77777777" w:rsidTr="007E4DE5">
        <w:tc>
          <w:tcPr>
            <w:tcW w:w="1440" w:type="dxa"/>
            <w:shd w:val="clear" w:color="auto" w:fill="auto"/>
          </w:tcPr>
          <w:p w14:paraId="2E56FE55" w14:textId="77777777" w:rsidR="0054153F" w:rsidRPr="00D443CB" w:rsidRDefault="0054153F" w:rsidP="003F0903">
            <w:pPr>
              <w:pStyle w:val="Default"/>
              <w:rPr>
                <w:rFonts w:ascii="Gill Sans MT" w:hAnsi="Gill Sans MT" w:cstheme="minorHAnsi"/>
                <w:sz w:val="22"/>
                <w:szCs w:val="22"/>
              </w:rPr>
            </w:pPr>
            <w:r w:rsidRPr="00D443CB">
              <w:rPr>
                <w:rFonts w:ascii="Gill Sans MT" w:hAnsi="Gill Sans MT" w:cstheme="minorHAnsi"/>
                <w:sz w:val="22"/>
                <w:szCs w:val="22"/>
              </w:rPr>
              <w:t xml:space="preserve">WHO </w:t>
            </w:r>
          </w:p>
        </w:tc>
        <w:tc>
          <w:tcPr>
            <w:tcW w:w="7830" w:type="dxa"/>
            <w:shd w:val="clear" w:color="auto" w:fill="auto"/>
          </w:tcPr>
          <w:p w14:paraId="5A67CE7B" w14:textId="77777777" w:rsidR="0054153F" w:rsidRPr="00D443CB" w:rsidRDefault="0054153F" w:rsidP="003F0903">
            <w:pPr>
              <w:spacing w:after="0" w:line="240" w:lineRule="auto"/>
              <w:rPr>
                <w:rFonts w:ascii="Gill Sans MT" w:hAnsi="Gill Sans MT" w:cstheme="minorHAnsi"/>
              </w:rPr>
            </w:pPr>
            <w:r w:rsidRPr="00D443CB">
              <w:rPr>
                <w:rFonts w:ascii="Gill Sans MT" w:hAnsi="Gill Sans MT" w:cstheme="minorHAnsi"/>
              </w:rPr>
              <w:t>World Health Organization</w:t>
            </w:r>
          </w:p>
        </w:tc>
      </w:tr>
      <w:tr w:rsidR="00E25587" w:rsidRPr="00D443CB" w14:paraId="26E4B14C" w14:textId="77777777" w:rsidTr="007E4DE5">
        <w:tc>
          <w:tcPr>
            <w:tcW w:w="1440" w:type="dxa"/>
            <w:shd w:val="clear" w:color="auto" w:fill="auto"/>
          </w:tcPr>
          <w:p w14:paraId="173A963F" w14:textId="0C997E23" w:rsidR="00E25587" w:rsidRPr="00D443CB" w:rsidRDefault="00E25587" w:rsidP="00E25587">
            <w:pPr>
              <w:pStyle w:val="Default"/>
              <w:rPr>
                <w:rFonts w:ascii="Gill Sans MT" w:hAnsi="Gill Sans MT" w:cstheme="minorHAnsi"/>
                <w:sz w:val="22"/>
                <w:szCs w:val="22"/>
              </w:rPr>
            </w:pPr>
            <w:r w:rsidRPr="00D443CB">
              <w:rPr>
                <w:rFonts w:ascii="Gill Sans MT" w:hAnsi="Gill Sans MT" w:cstheme="minorHAnsi"/>
                <w:sz w:val="22"/>
                <w:szCs w:val="22"/>
              </w:rPr>
              <w:t>WRD</w:t>
            </w:r>
          </w:p>
        </w:tc>
        <w:tc>
          <w:tcPr>
            <w:tcW w:w="7830" w:type="dxa"/>
            <w:shd w:val="clear" w:color="auto" w:fill="auto"/>
          </w:tcPr>
          <w:p w14:paraId="3DA2BACA" w14:textId="4822A4C0" w:rsidR="00E25587" w:rsidRPr="00D443CB" w:rsidRDefault="00E25587" w:rsidP="00E25587">
            <w:pPr>
              <w:spacing w:after="0" w:line="240" w:lineRule="auto"/>
              <w:rPr>
                <w:rFonts w:ascii="Gill Sans MT" w:hAnsi="Gill Sans MT" w:cstheme="minorHAnsi"/>
              </w:rPr>
            </w:pPr>
            <w:r w:rsidRPr="00D443CB">
              <w:rPr>
                <w:rFonts w:ascii="Gill Sans MT" w:hAnsi="Gill Sans MT" w:cs="Calibri"/>
              </w:rPr>
              <w:t xml:space="preserve">WHO-recommended </w:t>
            </w:r>
            <w:r w:rsidR="009C35AF" w:rsidRPr="00D443CB">
              <w:rPr>
                <w:rFonts w:ascii="Gill Sans MT" w:hAnsi="Gill Sans MT" w:cs="Calibri"/>
              </w:rPr>
              <w:t>r</w:t>
            </w:r>
            <w:r w:rsidRPr="00D443CB">
              <w:rPr>
                <w:rFonts w:ascii="Gill Sans MT" w:hAnsi="Gill Sans MT" w:cs="Calibri"/>
              </w:rPr>
              <w:t xml:space="preserve">apid TB </w:t>
            </w:r>
            <w:r w:rsidR="009C35AF" w:rsidRPr="00D443CB">
              <w:rPr>
                <w:rFonts w:ascii="Gill Sans MT" w:hAnsi="Gill Sans MT" w:cs="Calibri"/>
              </w:rPr>
              <w:t>d</w:t>
            </w:r>
            <w:r w:rsidR="002C5006" w:rsidRPr="00D443CB">
              <w:rPr>
                <w:rFonts w:ascii="Gill Sans MT" w:hAnsi="Gill Sans MT" w:cs="Calibri"/>
              </w:rPr>
              <w:t>i</w:t>
            </w:r>
            <w:r w:rsidRPr="00D443CB">
              <w:rPr>
                <w:rFonts w:ascii="Gill Sans MT" w:hAnsi="Gill Sans MT" w:cs="Calibri"/>
              </w:rPr>
              <w:t>agnostic</w:t>
            </w:r>
          </w:p>
        </w:tc>
      </w:tr>
    </w:tbl>
    <w:p w14:paraId="380B6698" w14:textId="77777777" w:rsidR="00AC4E87" w:rsidRPr="00D443CB" w:rsidRDefault="00AC4E87">
      <w:pPr>
        <w:spacing w:after="0" w:line="240" w:lineRule="auto"/>
        <w:rPr>
          <w:rFonts w:ascii="Gill Sans MT" w:hAnsi="Gill Sans MT"/>
        </w:rPr>
      </w:pPr>
    </w:p>
    <w:p w14:paraId="440E1C4E" w14:textId="6C60B918" w:rsidR="00AC4E87" w:rsidRPr="00D443CB" w:rsidRDefault="00AC4E87">
      <w:pPr>
        <w:spacing w:after="0" w:line="240" w:lineRule="auto"/>
        <w:rPr>
          <w:rFonts w:ascii="Gill Sans MT" w:hAnsi="Gill Sans MT"/>
        </w:rPr>
      </w:pPr>
      <w:r w:rsidRPr="00D443CB">
        <w:rPr>
          <w:rFonts w:ascii="Gill Sans MT" w:hAnsi="Gill Sans MT"/>
        </w:rPr>
        <w:br w:type="page"/>
      </w:r>
    </w:p>
    <w:p w14:paraId="528CC6FC" w14:textId="54D8ECAA" w:rsidR="00914787" w:rsidRPr="00D443CB" w:rsidRDefault="00914787" w:rsidP="00914787">
      <w:pPr>
        <w:widowControl w:val="0"/>
        <w:autoSpaceDE w:val="0"/>
        <w:autoSpaceDN w:val="0"/>
        <w:adjustRightInd w:val="0"/>
        <w:spacing w:line="240" w:lineRule="auto"/>
        <w:ind w:right="-14"/>
        <w:outlineLvl w:val="0"/>
        <w:rPr>
          <w:rFonts w:ascii="Gill Sans MT" w:hAnsi="Gill Sans MT" w:cstheme="minorHAnsi"/>
          <w:sz w:val="28"/>
          <w:szCs w:val="32"/>
        </w:rPr>
      </w:pPr>
      <w:bookmarkStart w:id="14" w:name="_Toc37317816"/>
      <w:r w:rsidRPr="00D443CB">
        <w:rPr>
          <w:rFonts w:ascii="Gill Sans MT" w:hAnsi="Gill Sans MT" w:cstheme="minorHAnsi"/>
          <w:sz w:val="28"/>
          <w:szCs w:val="32"/>
        </w:rPr>
        <w:lastRenderedPageBreak/>
        <w:t>Definitions</w:t>
      </w:r>
      <w:bookmarkEnd w:id="14"/>
    </w:p>
    <w:p w14:paraId="7C33D651" w14:textId="77777777" w:rsidR="00484190" w:rsidRPr="00D443CB" w:rsidRDefault="00484190" w:rsidP="00484190">
      <w:pPr>
        <w:spacing w:after="0" w:line="240" w:lineRule="auto"/>
        <w:jc w:val="both"/>
        <w:rPr>
          <w:rFonts w:ascii="Gill Sans MT" w:hAnsi="Gill Sans MT"/>
          <w:b/>
        </w:rPr>
      </w:pPr>
      <w:r w:rsidRPr="00D443CB">
        <w:rPr>
          <w:rFonts w:ascii="Gill Sans MT" w:hAnsi="Gill Sans MT"/>
          <w:b/>
        </w:rPr>
        <w:t>Diagnostic services</w:t>
      </w:r>
      <w:r w:rsidRPr="00D443CB">
        <w:rPr>
          <w:rFonts w:ascii="Gill Sans MT" w:hAnsi="Gill Sans MT"/>
          <w:bCs/>
        </w:rPr>
        <w:t xml:space="preserve">. </w:t>
      </w:r>
      <w:r w:rsidRPr="00D443CB">
        <w:rPr>
          <w:rFonts w:ascii="Gill Sans MT" w:hAnsi="Gill Sans MT"/>
          <w:b/>
        </w:rPr>
        <w:t>Clinical diagnostic services</w:t>
      </w:r>
      <w:r w:rsidRPr="00D443CB">
        <w:rPr>
          <w:rFonts w:ascii="Gill Sans MT" w:hAnsi="Gill Sans MT"/>
          <w:bCs/>
        </w:rPr>
        <w:t xml:space="preserve"> or functions may include symptom screening, radiology, specimen collection and referral of specimens to a testing site. Clinical diagnostic services may be provided at a health facility or at the community level by community health workers. </w:t>
      </w:r>
      <w:r w:rsidRPr="00D443CB">
        <w:rPr>
          <w:rFonts w:ascii="Gill Sans MT" w:hAnsi="Gill Sans MT"/>
          <w:b/>
        </w:rPr>
        <w:t>Laboratory diagnostic services</w:t>
      </w:r>
      <w:r w:rsidRPr="00D443CB">
        <w:rPr>
          <w:rFonts w:ascii="Gill Sans MT" w:hAnsi="Gill Sans MT"/>
          <w:bCs/>
        </w:rPr>
        <w:t xml:space="preserve"> or functions include specimen receipt, laboratory testing and reporting of results. In some settings patients are referred to a laboratory, and the laboratory is responsible for specimen collection.  </w:t>
      </w:r>
    </w:p>
    <w:p w14:paraId="7A4582C2" w14:textId="77777777" w:rsidR="00484190" w:rsidRPr="00D443CB" w:rsidRDefault="00484190" w:rsidP="00684696">
      <w:pPr>
        <w:spacing w:after="0" w:line="240" w:lineRule="auto"/>
        <w:jc w:val="both"/>
        <w:rPr>
          <w:rFonts w:ascii="Gill Sans MT" w:hAnsi="Gill Sans MT"/>
          <w:b/>
        </w:rPr>
      </w:pPr>
    </w:p>
    <w:p w14:paraId="48389B78" w14:textId="7BB217BC" w:rsidR="00AC4E87" w:rsidRPr="00D443CB" w:rsidRDefault="00AC4E87" w:rsidP="00684696">
      <w:pPr>
        <w:spacing w:after="0" w:line="240" w:lineRule="auto"/>
        <w:jc w:val="both"/>
        <w:rPr>
          <w:rFonts w:ascii="Gill Sans MT" w:hAnsi="Gill Sans MT"/>
        </w:rPr>
      </w:pPr>
      <w:r w:rsidRPr="00D443CB">
        <w:rPr>
          <w:rFonts w:ascii="Gill Sans MT" w:hAnsi="Gill Sans MT"/>
          <w:b/>
        </w:rPr>
        <w:t>External assessment team</w:t>
      </w:r>
      <w:r w:rsidR="00714FA9" w:rsidRPr="00D443CB">
        <w:rPr>
          <w:rFonts w:ascii="Gill Sans MT" w:hAnsi="Gill Sans MT"/>
          <w:b/>
        </w:rPr>
        <w:t>.</w:t>
      </w:r>
      <w:r w:rsidR="00B61CF9" w:rsidRPr="00D443CB">
        <w:rPr>
          <w:rFonts w:ascii="Gill Sans MT" w:hAnsi="Gill Sans MT"/>
        </w:rPr>
        <w:t xml:space="preserve"> </w:t>
      </w:r>
      <w:r w:rsidR="00714FA9" w:rsidRPr="00D443CB">
        <w:rPr>
          <w:rFonts w:ascii="Gill Sans MT" w:hAnsi="Gill Sans MT"/>
        </w:rPr>
        <w:t>A</w:t>
      </w:r>
      <w:r w:rsidR="00791091" w:rsidRPr="00D443CB">
        <w:rPr>
          <w:rFonts w:ascii="Gill Sans MT" w:hAnsi="Gill Sans MT"/>
        </w:rPr>
        <w:t xml:space="preserve"> </w:t>
      </w:r>
      <w:r w:rsidR="00665B79" w:rsidRPr="00D443CB">
        <w:rPr>
          <w:rFonts w:ascii="Gill Sans MT" w:hAnsi="Gill Sans MT"/>
        </w:rPr>
        <w:t>team of national and international TB laboratory, diagnostic network and program experts that conducts the assessment. External refers to persons who are</w:t>
      </w:r>
      <w:r w:rsidR="00F9769E" w:rsidRPr="00D443CB">
        <w:rPr>
          <w:rFonts w:ascii="Gill Sans MT" w:hAnsi="Gill Sans MT"/>
        </w:rPr>
        <w:t xml:space="preserve"> not </w:t>
      </w:r>
      <w:r w:rsidR="006404AC" w:rsidRPr="00D443CB">
        <w:rPr>
          <w:rFonts w:ascii="Gill Sans MT" w:hAnsi="Gill Sans MT"/>
        </w:rPr>
        <w:t xml:space="preserve">directly </w:t>
      </w:r>
      <w:r w:rsidR="00F9769E" w:rsidRPr="00D443CB">
        <w:rPr>
          <w:rFonts w:ascii="Gill Sans MT" w:hAnsi="Gill Sans MT"/>
        </w:rPr>
        <w:t>associated with the TB program or diagnostic network being evaluated</w:t>
      </w:r>
      <w:r w:rsidR="00665B79" w:rsidRPr="00D443CB">
        <w:rPr>
          <w:rFonts w:ascii="Gill Sans MT" w:hAnsi="Gill Sans MT"/>
        </w:rPr>
        <w:t>.</w:t>
      </w:r>
    </w:p>
    <w:p w14:paraId="0FCB1579" w14:textId="77777777" w:rsidR="008D1295" w:rsidRPr="00D443CB" w:rsidRDefault="008D1295" w:rsidP="00684696">
      <w:pPr>
        <w:spacing w:after="0" w:line="240" w:lineRule="auto"/>
        <w:jc w:val="both"/>
        <w:rPr>
          <w:rFonts w:ascii="Gill Sans MT" w:hAnsi="Gill Sans MT"/>
        </w:rPr>
      </w:pPr>
    </w:p>
    <w:p w14:paraId="0C73C221" w14:textId="4E0372C8" w:rsidR="00AC4E87" w:rsidRPr="00D443CB" w:rsidRDefault="00914787" w:rsidP="00684696">
      <w:pPr>
        <w:spacing w:after="0" w:line="240" w:lineRule="auto"/>
        <w:jc w:val="both"/>
        <w:rPr>
          <w:rFonts w:ascii="Gill Sans MT" w:hAnsi="Gill Sans MT"/>
        </w:rPr>
      </w:pPr>
      <w:r w:rsidRPr="00D443CB">
        <w:rPr>
          <w:rFonts w:ascii="Gill Sans MT" w:hAnsi="Gill Sans MT"/>
          <w:b/>
        </w:rPr>
        <w:t>External a</w:t>
      </w:r>
      <w:r w:rsidR="00AC4E87" w:rsidRPr="00D443CB">
        <w:rPr>
          <w:rFonts w:ascii="Gill Sans MT" w:hAnsi="Gill Sans MT"/>
          <w:b/>
        </w:rPr>
        <w:t>ssessment team focal person</w:t>
      </w:r>
      <w:r w:rsidR="00714FA9" w:rsidRPr="00D443CB">
        <w:rPr>
          <w:rFonts w:ascii="Gill Sans MT" w:hAnsi="Gill Sans MT"/>
          <w:b/>
        </w:rPr>
        <w:t>.</w:t>
      </w:r>
      <w:r w:rsidR="00791091" w:rsidRPr="00D443CB">
        <w:rPr>
          <w:rFonts w:ascii="Gill Sans MT" w:hAnsi="Gill Sans MT"/>
        </w:rPr>
        <w:t xml:space="preserve"> </w:t>
      </w:r>
      <w:r w:rsidR="00714FA9" w:rsidRPr="00D443CB">
        <w:rPr>
          <w:rFonts w:ascii="Gill Sans MT" w:hAnsi="Gill Sans MT"/>
        </w:rPr>
        <w:t xml:space="preserve">A </w:t>
      </w:r>
      <w:r w:rsidR="00791091" w:rsidRPr="00D443CB">
        <w:rPr>
          <w:rFonts w:ascii="Gill Sans MT" w:hAnsi="Gill Sans MT"/>
        </w:rPr>
        <w:t>m</w:t>
      </w:r>
      <w:r w:rsidR="008550DA" w:rsidRPr="00D443CB">
        <w:rPr>
          <w:rFonts w:ascii="Gill Sans MT" w:hAnsi="Gill Sans MT"/>
        </w:rPr>
        <w:t xml:space="preserve">ember of the external assessment team that serves </w:t>
      </w:r>
      <w:r w:rsidRPr="00D443CB">
        <w:rPr>
          <w:rFonts w:ascii="Gill Sans MT" w:hAnsi="Gill Sans MT"/>
        </w:rPr>
        <w:t xml:space="preserve">as </w:t>
      </w:r>
      <w:r w:rsidR="00791091" w:rsidRPr="00D443CB">
        <w:rPr>
          <w:rFonts w:ascii="Gill Sans MT" w:hAnsi="Gill Sans MT"/>
        </w:rPr>
        <w:t xml:space="preserve">the </w:t>
      </w:r>
      <w:r w:rsidR="008550DA" w:rsidRPr="00D443CB">
        <w:rPr>
          <w:rFonts w:ascii="Gill Sans MT" w:hAnsi="Gill Sans MT"/>
        </w:rPr>
        <w:t xml:space="preserve">primary point of contact to facilitate communications </w:t>
      </w:r>
      <w:r w:rsidRPr="00D443CB">
        <w:rPr>
          <w:rFonts w:ascii="Gill Sans MT" w:hAnsi="Gill Sans MT"/>
        </w:rPr>
        <w:t>between the external assessment team and the MoH</w:t>
      </w:r>
      <w:r w:rsidR="00DE031B" w:rsidRPr="00D443CB">
        <w:rPr>
          <w:rFonts w:ascii="Gill Sans MT" w:hAnsi="Gill Sans MT"/>
        </w:rPr>
        <w:t xml:space="preserve"> and </w:t>
      </w:r>
      <w:r w:rsidRPr="00D443CB">
        <w:rPr>
          <w:rFonts w:ascii="Gill Sans MT" w:hAnsi="Gill Sans MT"/>
        </w:rPr>
        <w:t>NTP.</w:t>
      </w:r>
    </w:p>
    <w:p w14:paraId="0C2AAC3D" w14:textId="77777777" w:rsidR="008D1295" w:rsidRPr="00D443CB" w:rsidRDefault="008D1295" w:rsidP="00684696">
      <w:pPr>
        <w:spacing w:after="0" w:line="240" w:lineRule="auto"/>
        <w:jc w:val="both"/>
        <w:rPr>
          <w:rFonts w:ascii="Gill Sans MT" w:hAnsi="Gill Sans MT"/>
        </w:rPr>
      </w:pPr>
    </w:p>
    <w:p w14:paraId="25748908" w14:textId="22D7DE8C" w:rsidR="008550DA" w:rsidRPr="00D443CB" w:rsidRDefault="008550DA" w:rsidP="00684696">
      <w:pPr>
        <w:spacing w:after="0" w:line="240" w:lineRule="auto"/>
        <w:jc w:val="both"/>
        <w:rPr>
          <w:rFonts w:ascii="Gill Sans MT" w:hAnsi="Gill Sans MT"/>
        </w:rPr>
      </w:pPr>
      <w:r w:rsidRPr="00D443CB">
        <w:rPr>
          <w:rFonts w:ascii="Gill Sans MT" w:hAnsi="Gill Sans MT"/>
          <w:b/>
        </w:rPr>
        <w:t>MoH and NTP focal person</w:t>
      </w:r>
      <w:r w:rsidR="00714FA9" w:rsidRPr="00D443CB">
        <w:rPr>
          <w:rFonts w:ascii="Gill Sans MT" w:hAnsi="Gill Sans MT"/>
        </w:rPr>
        <w:t>.</w:t>
      </w:r>
      <w:r w:rsidR="00791091" w:rsidRPr="00D443CB">
        <w:rPr>
          <w:rFonts w:ascii="Gill Sans MT" w:hAnsi="Gill Sans MT"/>
        </w:rPr>
        <w:t xml:space="preserve"> </w:t>
      </w:r>
      <w:r w:rsidR="00714FA9" w:rsidRPr="00D443CB">
        <w:rPr>
          <w:rFonts w:ascii="Gill Sans MT" w:hAnsi="Gill Sans MT"/>
        </w:rPr>
        <w:t>A</w:t>
      </w:r>
      <w:r w:rsidR="00791091" w:rsidRPr="00D443CB">
        <w:rPr>
          <w:rFonts w:ascii="Gill Sans MT" w:hAnsi="Gill Sans MT"/>
        </w:rPr>
        <w:t xml:space="preserve"> m</w:t>
      </w:r>
      <w:r w:rsidRPr="00D443CB">
        <w:rPr>
          <w:rFonts w:ascii="Gill Sans MT" w:hAnsi="Gill Sans MT"/>
        </w:rPr>
        <w:t>ember of t</w:t>
      </w:r>
      <w:r w:rsidR="00222D75" w:rsidRPr="00D443CB">
        <w:rPr>
          <w:rFonts w:ascii="Gill Sans MT" w:hAnsi="Gill Sans MT"/>
        </w:rPr>
        <w:t>h</w:t>
      </w:r>
      <w:r w:rsidRPr="00D443CB">
        <w:rPr>
          <w:rFonts w:ascii="Gill Sans MT" w:hAnsi="Gill Sans MT"/>
        </w:rPr>
        <w:t xml:space="preserve">e MoH or NTP that serves as </w:t>
      </w:r>
      <w:r w:rsidR="00791091" w:rsidRPr="00D443CB">
        <w:rPr>
          <w:rFonts w:ascii="Gill Sans MT" w:hAnsi="Gill Sans MT"/>
        </w:rPr>
        <w:t xml:space="preserve">the </w:t>
      </w:r>
      <w:r w:rsidRPr="00D443CB">
        <w:rPr>
          <w:rFonts w:ascii="Gill Sans MT" w:hAnsi="Gill Sans MT"/>
        </w:rPr>
        <w:t>primary point of contact to facilitate communications between the MoH, NTP, in-country workgroups and the</w:t>
      </w:r>
      <w:r w:rsidR="00FC04C1" w:rsidRPr="00D443CB">
        <w:rPr>
          <w:rFonts w:ascii="Gill Sans MT" w:hAnsi="Gill Sans MT"/>
        </w:rPr>
        <w:t xml:space="preserve"> external </w:t>
      </w:r>
      <w:r w:rsidRPr="00D443CB">
        <w:rPr>
          <w:rFonts w:ascii="Gill Sans MT" w:hAnsi="Gill Sans MT"/>
        </w:rPr>
        <w:t>assessment team.</w:t>
      </w:r>
    </w:p>
    <w:p w14:paraId="40C1758A" w14:textId="36430A58" w:rsidR="003C6309" w:rsidRPr="00D443CB" w:rsidRDefault="003C6309" w:rsidP="00684696">
      <w:pPr>
        <w:spacing w:after="0" w:line="240" w:lineRule="auto"/>
        <w:jc w:val="both"/>
        <w:rPr>
          <w:rFonts w:ascii="Gill Sans MT" w:hAnsi="Gill Sans MT"/>
        </w:rPr>
      </w:pPr>
    </w:p>
    <w:p w14:paraId="0ECBA9F0" w14:textId="3DAC39FF" w:rsidR="003C6309" w:rsidRPr="00D443CB" w:rsidRDefault="773C66CB" w:rsidP="00C058B2">
      <w:pPr>
        <w:spacing w:after="0" w:line="240" w:lineRule="auto"/>
        <w:jc w:val="both"/>
        <w:rPr>
          <w:rFonts w:ascii="Gill Sans MT" w:hAnsi="Gill Sans MT"/>
        </w:rPr>
      </w:pPr>
      <w:r w:rsidRPr="00D443CB">
        <w:rPr>
          <w:rFonts w:ascii="Gill Sans MT" w:hAnsi="Gill Sans MT"/>
          <w:b/>
          <w:bCs/>
        </w:rPr>
        <w:t>Private sector facility</w:t>
      </w:r>
      <w:r w:rsidR="003C6309" w:rsidRPr="00D443CB">
        <w:rPr>
          <w:rFonts w:ascii="Gill Sans MT" w:hAnsi="Gill Sans MT"/>
        </w:rPr>
        <w:t xml:space="preserve">: </w:t>
      </w:r>
      <w:r w:rsidR="00082979" w:rsidRPr="00D443CB">
        <w:rPr>
          <w:rFonts w:ascii="Gill Sans MT" w:hAnsi="Gill Sans MT"/>
        </w:rPr>
        <w:t>Private sector facilities (laboratories, health facilities, hospitals</w:t>
      </w:r>
      <w:r w:rsidR="00245255" w:rsidRPr="00D443CB">
        <w:rPr>
          <w:rFonts w:ascii="Gill Sans MT" w:hAnsi="Gill Sans MT"/>
        </w:rPr>
        <w:t>, private practi</w:t>
      </w:r>
      <w:r w:rsidR="00855F2B" w:rsidRPr="00D443CB">
        <w:rPr>
          <w:rFonts w:ascii="Gill Sans MT" w:hAnsi="Gill Sans MT"/>
        </w:rPr>
        <w:t>ti</w:t>
      </w:r>
      <w:r w:rsidR="00245255" w:rsidRPr="00D443CB">
        <w:rPr>
          <w:rFonts w:ascii="Gill Sans MT" w:hAnsi="Gill Sans MT"/>
        </w:rPr>
        <w:t>oners</w:t>
      </w:r>
      <w:r w:rsidR="00082979" w:rsidRPr="00D443CB">
        <w:rPr>
          <w:rFonts w:ascii="Gill Sans MT" w:hAnsi="Gill Sans MT"/>
        </w:rPr>
        <w:t xml:space="preserve">) are broadly defined to include all facilities that are not funded or controlled  by the national or state TB program or Ministry of Health </w:t>
      </w:r>
      <w:r w:rsidR="00684696" w:rsidRPr="00D443CB">
        <w:rPr>
          <w:rFonts w:ascii="Gill Sans MT" w:hAnsi="Gill Sans MT"/>
        </w:rPr>
        <w:t>and</w:t>
      </w:r>
      <w:r w:rsidR="00082979" w:rsidRPr="00D443CB">
        <w:rPr>
          <w:rFonts w:ascii="Gill Sans MT" w:hAnsi="Gill Sans MT"/>
        </w:rPr>
        <w:t xml:space="preserve"> that are</w:t>
      </w:r>
      <w:r w:rsidR="00684696" w:rsidRPr="00D443CB">
        <w:rPr>
          <w:rFonts w:ascii="Gill Sans MT" w:hAnsi="Gill Sans MT"/>
        </w:rPr>
        <w:t xml:space="preserve"> not included in the NTP</w:t>
      </w:r>
      <w:r w:rsidR="001F789F" w:rsidRPr="00D443CB">
        <w:rPr>
          <w:rFonts w:ascii="Gill Sans MT" w:hAnsi="Gill Sans MT"/>
        </w:rPr>
        <w:t>/NTRL</w:t>
      </w:r>
      <w:r w:rsidR="00684696" w:rsidRPr="00D443CB">
        <w:rPr>
          <w:rFonts w:ascii="Gill Sans MT" w:hAnsi="Gill Sans MT"/>
        </w:rPr>
        <w:t xml:space="preserve"> systems for reporting, supervision, monitoring and evaluation of TB services</w:t>
      </w:r>
      <w:r w:rsidR="008F79FE" w:rsidRPr="00D443CB">
        <w:rPr>
          <w:rFonts w:ascii="Gill Sans MT" w:hAnsi="Gill Sans MT"/>
        </w:rPr>
        <w:t>.</w:t>
      </w:r>
      <w:r w:rsidR="000E389D" w:rsidRPr="00D443CB">
        <w:rPr>
          <w:rFonts w:ascii="Gill Sans MT" w:hAnsi="Gill Sans MT"/>
        </w:rPr>
        <w:t xml:space="preserve"> These </w:t>
      </w:r>
      <w:r w:rsidR="00C058B2" w:rsidRPr="00D443CB">
        <w:rPr>
          <w:rFonts w:ascii="Gill Sans MT" w:hAnsi="Gill Sans MT"/>
        </w:rPr>
        <w:t>facilities</w:t>
      </w:r>
      <w:r w:rsidR="00855F2B" w:rsidRPr="00D443CB">
        <w:rPr>
          <w:rFonts w:ascii="Gill Sans MT" w:hAnsi="Gill Sans MT"/>
        </w:rPr>
        <w:t xml:space="preserve"> </w:t>
      </w:r>
      <w:r w:rsidR="00245255" w:rsidRPr="00D443CB">
        <w:rPr>
          <w:rFonts w:ascii="Gill Sans MT" w:hAnsi="Gill Sans MT"/>
        </w:rPr>
        <w:t xml:space="preserve">may </w:t>
      </w:r>
      <w:r w:rsidR="000E389D" w:rsidRPr="00D443CB">
        <w:rPr>
          <w:rFonts w:ascii="Gill Sans MT" w:hAnsi="Gill Sans MT"/>
        </w:rPr>
        <w:t>include private for-profit and private not-for-profit facilities</w:t>
      </w:r>
      <w:r w:rsidR="00245255" w:rsidRPr="00D443CB">
        <w:rPr>
          <w:rFonts w:ascii="Gill Sans MT" w:hAnsi="Gill Sans MT"/>
        </w:rPr>
        <w:t>, commercial laboratories, academic laboratories and hospital laboratories.</w:t>
      </w:r>
    </w:p>
    <w:p w14:paraId="6473537E" w14:textId="77777777" w:rsidR="007A4285" w:rsidRPr="00D443CB" w:rsidRDefault="007A4285" w:rsidP="00684696">
      <w:pPr>
        <w:spacing w:after="0" w:line="240" w:lineRule="auto"/>
        <w:jc w:val="both"/>
        <w:rPr>
          <w:rFonts w:ascii="Gill Sans MT" w:hAnsi="Gill Sans MT"/>
        </w:rPr>
      </w:pPr>
    </w:p>
    <w:p w14:paraId="7751BDDD" w14:textId="25BCC886" w:rsidR="007A4285" w:rsidRPr="00D443CB" w:rsidRDefault="007A4285" w:rsidP="00684696">
      <w:pPr>
        <w:spacing w:after="0" w:line="240" w:lineRule="auto"/>
        <w:jc w:val="both"/>
        <w:rPr>
          <w:rFonts w:ascii="Gill Sans MT" w:hAnsi="Gill Sans MT"/>
        </w:rPr>
      </w:pPr>
      <w:r w:rsidRPr="00D443CB">
        <w:rPr>
          <w:rFonts w:ascii="Gill Sans MT" w:hAnsi="Gill Sans MT"/>
          <w:b/>
        </w:rPr>
        <w:t>Self-assessment</w:t>
      </w:r>
      <w:r w:rsidR="00714FA9" w:rsidRPr="00D443CB">
        <w:rPr>
          <w:rFonts w:ascii="Gill Sans MT" w:hAnsi="Gill Sans MT"/>
          <w:b/>
        </w:rPr>
        <w:t>.</w:t>
      </w:r>
      <w:r w:rsidRPr="00D443CB">
        <w:rPr>
          <w:rFonts w:ascii="Gill Sans MT" w:hAnsi="Gill Sans MT"/>
        </w:rPr>
        <w:t xml:space="preserve"> </w:t>
      </w:r>
      <w:r w:rsidR="00714FA9" w:rsidRPr="00D443CB">
        <w:rPr>
          <w:rFonts w:ascii="Gill Sans MT" w:hAnsi="Gill Sans MT"/>
        </w:rPr>
        <w:t>A</w:t>
      </w:r>
      <w:r w:rsidRPr="00D443CB">
        <w:rPr>
          <w:rFonts w:ascii="Gill Sans MT" w:hAnsi="Gill Sans MT"/>
        </w:rPr>
        <w:t xml:space="preserve">n assessment of a country’s own TB diagnostic network by the MOH, NTP or designated individuals </w:t>
      </w:r>
      <w:r w:rsidR="006404AC" w:rsidRPr="00D443CB">
        <w:rPr>
          <w:rFonts w:ascii="Gill Sans MT" w:hAnsi="Gill Sans MT"/>
        </w:rPr>
        <w:t>associated with the TB program</w:t>
      </w:r>
      <w:r w:rsidR="003C2D14" w:rsidRPr="00D443CB">
        <w:rPr>
          <w:rFonts w:ascii="Gill Sans MT" w:hAnsi="Gill Sans MT"/>
        </w:rPr>
        <w:t xml:space="preserve"> </w:t>
      </w:r>
      <w:r w:rsidRPr="00D443CB">
        <w:rPr>
          <w:rFonts w:ascii="Gill Sans MT" w:hAnsi="Gill Sans MT"/>
        </w:rPr>
        <w:t>using the TB diagnostic network assessment tool.</w:t>
      </w:r>
    </w:p>
    <w:p w14:paraId="15EDADCA" w14:textId="77777777" w:rsidR="007A4285" w:rsidRPr="00D443CB" w:rsidRDefault="007A4285" w:rsidP="00684696">
      <w:pPr>
        <w:spacing w:after="0" w:line="240" w:lineRule="auto"/>
        <w:jc w:val="both"/>
        <w:rPr>
          <w:rFonts w:ascii="Gill Sans MT" w:hAnsi="Gill Sans MT"/>
        </w:rPr>
      </w:pPr>
    </w:p>
    <w:p w14:paraId="5A30E471" w14:textId="56657733" w:rsidR="007A4285" w:rsidRPr="00D443CB" w:rsidRDefault="007A4285" w:rsidP="00684696">
      <w:pPr>
        <w:spacing w:after="0" w:line="240" w:lineRule="auto"/>
        <w:jc w:val="both"/>
        <w:rPr>
          <w:rFonts w:ascii="Gill Sans MT" w:hAnsi="Gill Sans MT"/>
        </w:rPr>
      </w:pPr>
      <w:r w:rsidRPr="00D443CB">
        <w:rPr>
          <w:rFonts w:ascii="Gill Sans MT" w:hAnsi="Gill Sans MT"/>
          <w:b/>
        </w:rPr>
        <w:t>Supplemental checklists</w:t>
      </w:r>
      <w:r w:rsidR="00714FA9" w:rsidRPr="00D443CB">
        <w:rPr>
          <w:rFonts w:ascii="Gill Sans MT" w:hAnsi="Gill Sans MT"/>
          <w:b/>
        </w:rPr>
        <w:t>.</w:t>
      </w:r>
      <w:r w:rsidR="00DE031B" w:rsidRPr="00D443CB">
        <w:rPr>
          <w:rFonts w:ascii="Gill Sans MT" w:hAnsi="Gill Sans MT"/>
        </w:rPr>
        <w:t xml:space="preserve"> </w:t>
      </w:r>
      <w:r w:rsidR="00714FA9" w:rsidRPr="00D443CB">
        <w:rPr>
          <w:rFonts w:ascii="Gill Sans MT" w:hAnsi="Gill Sans MT"/>
        </w:rPr>
        <w:t>T</w:t>
      </w:r>
      <w:r w:rsidRPr="00D443CB">
        <w:rPr>
          <w:rFonts w:ascii="Gill Sans MT" w:hAnsi="Gill Sans MT"/>
        </w:rPr>
        <w:t xml:space="preserve">opic-specific checklists </w:t>
      </w:r>
      <w:r w:rsidR="00AD240B" w:rsidRPr="00D443CB">
        <w:rPr>
          <w:rFonts w:ascii="Gill Sans MT" w:hAnsi="Gill Sans MT"/>
        </w:rPr>
        <w:t>that</w:t>
      </w:r>
      <w:r w:rsidRPr="00D443CB">
        <w:rPr>
          <w:rFonts w:ascii="Gill Sans MT" w:hAnsi="Gill Sans MT"/>
        </w:rPr>
        <w:t xml:space="preserve"> supplement the</w:t>
      </w:r>
      <w:r w:rsidR="006404AC" w:rsidRPr="00D443CB">
        <w:rPr>
          <w:rFonts w:ascii="Gill Sans MT" w:hAnsi="Gill Sans MT"/>
        </w:rPr>
        <w:t xml:space="preserve"> main assessment tool</w:t>
      </w:r>
      <w:r w:rsidRPr="00D443CB">
        <w:rPr>
          <w:rFonts w:ascii="Gill Sans MT" w:hAnsi="Gill Sans MT"/>
        </w:rPr>
        <w:t xml:space="preserve"> verification questions to ensure that enough detail on specific diagnostic network components (e.g., specimen referral) </w:t>
      </w:r>
      <w:r w:rsidR="006404AC" w:rsidRPr="00D443CB">
        <w:rPr>
          <w:rFonts w:ascii="Gill Sans MT" w:hAnsi="Gill Sans MT"/>
        </w:rPr>
        <w:t xml:space="preserve">is gathered </w:t>
      </w:r>
      <w:r w:rsidRPr="00D443CB">
        <w:rPr>
          <w:rFonts w:ascii="Gill Sans MT" w:hAnsi="Gill Sans MT"/>
        </w:rPr>
        <w:t>to address the overall objectives and scope of work of the assessment.</w:t>
      </w:r>
    </w:p>
    <w:p w14:paraId="67F777C5" w14:textId="743553CC" w:rsidR="007A4285" w:rsidRPr="00D443CB" w:rsidRDefault="007A4285" w:rsidP="00684696">
      <w:pPr>
        <w:spacing w:after="0" w:line="240" w:lineRule="auto"/>
        <w:jc w:val="both"/>
        <w:rPr>
          <w:rFonts w:ascii="Gill Sans MT" w:hAnsi="Gill Sans MT"/>
        </w:rPr>
      </w:pPr>
    </w:p>
    <w:p w14:paraId="0F6A21F3" w14:textId="0D0F30EC" w:rsidR="00DE031B" w:rsidRPr="00D443CB" w:rsidRDefault="00DE031B" w:rsidP="00684696">
      <w:pPr>
        <w:spacing w:after="0" w:line="240" w:lineRule="auto"/>
        <w:jc w:val="both"/>
        <w:rPr>
          <w:rFonts w:ascii="Gill Sans MT" w:hAnsi="Gill Sans MT" w:cstheme="minorHAnsi"/>
        </w:rPr>
      </w:pPr>
      <w:r w:rsidRPr="00D443CB">
        <w:rPr>
          <w:rFonts w:ascii="Gill Sans MT" w:hAnsi="Gill Sans MT"/>
          <w:b/>
        </w:rPr>
        <w:t xml:space="preserve">TB </w:t>
      </w:r>
      <w:r w:rsidR="008F79FE" w:rsidRPr="00D443CB">
        <w:rPr>
          <w:rFonts w:ascii="Gill Sans MT" w:hAnsi="Gill Sans MT"/>
          <w:b/>
        </w:rPr>
        <w:t>d</w:t>
      </w:r>
      <w:r w:rsidRPr="00D443CB">
        <w:rPr>
          <w:rFonts w:ascii="Gill Sans MT" w:hAnsi="Gill Sans MT"/>
          <w:b/>
        </w:rPr>
        <w:t xml:space="preserve">iagnostic cascade </w:t>
      </w:r>
      <w:r w:rsidRPr="00D443CB">
        <w:rPr>
          <w:rFonts w:ascii="Gill Sans MT" w:hAnsi="Gill Sans MT" w:cstheme="minorHAnsi"/>
        </w:rPr>
        <w:t>starts with a person experiencing symptoms and deciding to seek care or a health care worker identifying a person to be evaluated for TB and continues through the ordering of an appropriate test, timely referral of a specimen to the</w:t>
      </w:r>
      <w:r w:rsidRPr="00D443CB" w:rsidDel="001B0786">
        <w:rPr>
          <w:rFonts w:ascii="Gill Sans MT" w:hAnsi="Gill Sans MT" w:cstheme="minorHAnsi"/>
        </w:rPr>
        <w:t xml:space="preserve"> </w:t>
      </w:r>
      <w:r w:rsidRPr="00D443CB">
        <w:rPr>
          <w:rFonts w:ascii="Gill Sans MT" w:hAnsi="Gill Sans MT" w:cstheme="minorHAnsi"/>
        </w:rPr>
        <w:t>laboratory, accurate and quality-assured laboratory testing, return of the test results, initiation of appropriate treatment, and monitoring of the response to therapy.</w:t>
      </w:r>
    </w:p>
    <w:p w14:paraId="15E1B85A" w14:textId="77777777" w:rsidR="00DE031B" w:rsidRPr="00D443CB" w:rsidRDefault="00DE031B" w:rsidP="00684696">
      <w:pPr>
        <w:spacing w:after="0" w:line="240" w:lineRule="auto"/>
        <w:jc w:val="both"/>
        <w:rPr>
          <w:rFonts w:ascii="Gill Sans MT" w:hAnsi="Gill Sans MT"/>
        </w:rPr>
      </w:pPr>
    </w:p>
    <w:p w14:paraId="0EC7FA59" w14:textId="15C6E7F0" w:rsidR="007A4285" w:rsidRPr="00D443CB" w:rsidRDefault="007A4285" w:rsidP="00684696">
      <w:pPr>
        <w:spacing w:after="0" w:line="240" w:lineRule="auto"/>
        <w:jc w:val="both"/>
        <w:rPr>
          <w:rFonts w:ascii="Gill Sans MT" w:hAnsi="Gill Sans MT"/>
        </w:rPr>
      </w:pPr>
      <w:r w:rsidRPr="00D443CB">
        <w:rPr>
          <w:rFonts w:ascii="Gill Sans MT" w:hAnsi="Gill Sans MT"/>
          <w:b/>
        </w:rPr>
        <w:t>TB diagnostic network</w:t>
      </w:r>
      <w:r w:rsidRPr="00D443CB">
        <w:rPr>
          <w:rFonts w:ascii="Gill Sans MT" w:hAnsi="Gill Sans MT"/>
        </w:rPr>
        <w:t xml:space="preserve"> is a collaborative group including all (public, private, non-governmental) laboratories</w:t>
      </w:r>
      <w:r w:rsidR="006404AC" w:rsidRPr="00D443CB">
        <w:rPr>
          <w:rFonts w:ascii="Gill Sans MT" w:hAnsi="Gill Sans MT"/>
        </w:rPr>
        <w:t xml:space="preserve"> and health facilities</w:t>
      </w:r>
      <w:r w:rsidRPr="00D443CB">
        <w:rPr>
          <w:rFonts w:ascii="Gill Sans MT" w:hAnsi="Gill Sans MT"/>
        </w:rPr>
        <w:t xml:space="preserve"> within a country, whose mission is to address individual patient care and public health needs from the peripheral to the national level. </w:t>
      </w:r>
    </w:p>
    <w:p w14:paraId="5EF47639" w14:textId="3976F215" w:rsidR="00222D75" w:rsidRPr="00D443CB" w:rsidRDefault="00222D75" w:rsidP="00684696">
      <w:pPr>
        <w:spacing w:after="0" w:line="240" w:lineRule="auto"/>
        <w:jc w:val="both"/>
        <w:rPr>
          <w:rFonts w:ascii="Gill Sans MT" w:hAnsi="Gill Sans MT"/>
        </w:rPr>
      </w:pPr>
    </w:p>
    <w:p w14:paraId="2FF3DC69" w14:textId="4FF2D2BE" w:rsidR="00AD240B" w:rsidRPr="00D443CB" w:rsidRDefault="00AD240B" w:rsidP="00684696">
      <w:pPr>
        <w:spacing w:after="0" w:line="240" w:lineRule="auto"/>
        <w:jc w:val="both"/>
        <w:rPr>
          <w:rFonts w:ascii="Gill Sans MT" w:hAnsi="Gill Sans MT"/>
        </w:rPr>
      </w:pPr>
      <w:r w:rsidRPr="00D443CB">
        <w:rPr>
          <w:rFonts w:ascii="Gill Sans MT" w:hAnsi="Gill Sans MT"/>
          <w:b/>
        </w:rPr>
        <w:t>TB diagnostic network assessment tool</w:t>
      </w:r>
      <w:r w:rsidR="00714FA9" w:rsidRPr="00D443CB">
        <w:rPr>
          <w:rFonts w:ascii="Gill Sans MT" w:hAnsi="Gill Sans MT"/>
          <w:b/>
        </w:rPr>
        <w:t xml:space="preserve">. </w:t>
      </w:r>
      <w:r w:rsidR="00714FA9" w:rsidRPr="00D443CB">
        <w:rPr>
          <w:rFonts w:ascii="Gill Sans MT" w:hAnsi="Gill Sans MT"/>
        </w:rPr>
        <w:t>A tool</w:t>
      </w:r>
      <w:r w:rsidRPr="00D443CB">
        <w:rPr>
          <w:rFonts w:ascii="Gill Sans MT" w:hAnsi="Gill Sans MT"/>
        </w:rPr>
        <w:t xml:space="preserve"> based on network standards, core capacities, components, and capability stages. Standardized checklists, questions, and pre-determined attributes of each stage of each component are used to assess the degree to which the network meets the diagnostic network standard.</w:t>
      </w:r>
    </w:p>
    <w:p w14:paraId="395B874E" w14:textId="068A8F0C" w:rsidR="00AD240B" w:rsidRPr="00D443CB" w:rsidRDefault="00AD240B" w:rsidP="00FC763C">
      <w:pPr>
        <w:pStyle w:val="ListParagraph"/>
        <w:numPr>
          <w:ilvl w:val="0"/>
          <w:numId w:val="34"/>
        </w:numPr>
        <w:spacing w:after="0" w:line="240" w:lineRule="auto"/>
        <w:jc w:val="both"/>
        <w:rPr>
          <w:rFonts w:ascii="Gill Sans MT" w:hAnsi="Gill Sans MT"/>
        </w:rPr>
      </w:pPr>
      <w:r w:rsidRPr="00D443CB">
        <w:rPr>
          <w:rFonts w:ascii="Gill Sans MT" w:hAnsi="Gill Sans MT"/>
          <w:b/>
        </w:rPr>
        <w:t>Network standards</w:t>
      </w:r>
      <w:r w:rsidRPr="00D443CB">
        <w:rPr>
          <w:rFonts w:ascii="Gill Sans MT" w:hAnsi="Gill Sans MT"/>
        </w:rPr>
        <w:t xml:space="preserve"> are used to define the practices, methods, systems and requirements that are essential for a comprehensive, well-functioning TB laboratory network.</w:t>
      </w:r>
    </w:p>
    <w:p w14:paraId="0762890A" w14:textId="1E04D667" w:rsidR="00AD240B" w:rsidRPr="00D443CB" w:rsidRDefault="00AD240B" w:rsidP="00FC763C">
      <w:pPr>
        <w:pStyle w:val="ListParagraph"/>
        <w:numPr>
          <w:ilvl w:val="0"/>
          <w:numId w:val="34"/>
        </w:numPr>
        <w:spacing w:after="0" w:line="240" w:lineRule="auto"/>
        <w:jc w:val="both"/>
        <w:rPr>
          <w:rFonts w:ascii="Gill Sans MT" w:hAnsi="Gill Sans MT"/>
        </w:rPr>
      </w:pPr>
      <w:r w:rsidRPr="00D443CB">
        <w:rPr>
          <w:rFonts w:ascii="Gill Sans MT" w:hAnsi="Gill Sans MT"/>
          <w:b/>
        </w:rPr>
        <w:t>Core capacities</w:t>
      </w:r>
      <w:r w:rsidRPr="00D443CB">
        <w:rPr>
          <w:rFonts w:ascii="Gill Sans MT" w:hAnsi="Gill Sans MT"/>
        </w:rPr>
        <w:t xml:space="preserve"> are capabilities required of a TB diagnostic network to provide the laboratory services needed to detect and identify TB, link patients to care, monitor patients on therapy, and conduct surveillance of TB disease. Each core capacity corresponds to one of the diagnostic network standards.</w:t>
      </w:r>
    </w:p>
    <w:p w14:paraId="6A3005F8" w14:textId="73D24E18" w:rsidR="00AD240B" w:rsidRPr="00D443CB" w:rsidRDefault="00AD240B" w:rsidP="00FC763C">
      <w:pPr>
        <w:pStyle w:val="ListParagraph"/>
        <w:numPr>
          <w:ilvl w:val="0"/>
          <w:numId w:val="34"/>
        </w:numPr>
        <w:spacing w:after="0" w:line="240" w:lineRule="auto"/>
        <w:jc w:val="both"/>
        <w:rPr>
          <w:rFonts w:ascii="Gill Sans MT" w:hAnsi="Gill Sans MT"/>
        </w:rPr>
      </w:pPr>
      <w:r w:rsidRPr="00D443CB">
        <w:rPr>
          <w:rFonts w:ascii="Gill Sans MT" w:hAnsi="Gill Sans MT"/>
          <w:b/>
        </w:rPr>
        <w:lastRenderedPageBreak/>
        <w:t>Components</w:t>
      </w:r>
      <w:r w:rsidRPr="00D443CB">
        <w:rPr>
          <w:rFonts w:ascii="Gill Sans MT" w:hAnsi="Gill Sans MT"/>
        </w:rPr>
        <w:t xml:space="preserve"> are key capabilities and essential functions of the TB diagnostic network that must be fulfilled to meet the diagnostic network standard.</w:t>
      </w:r>
    </w:p>
    <w:p w14:paraId="4F61E3EB" w14:textId="31F0C07F" w:rsidR="00AD240B" w:rsidRPr="00D443CB" w:rsidRDefault="00AD240B" w:rsidP="00FC763C">
      <w:pPr>
        <w:pStyle w:val="ListParagraph"/>
        <w:numPr>
          <w:ilvl w:val="0"/>
          <w:numId w:val="34"/>
        </w:numPr>
        <w:spacing w:after="0" w:line="240" w:lineRule="auto"/>
        <w:jc w:val="both"/>
        <w:rPr>
          <w:rFonts w:ascii="Gill Sans MT" w:hAnsi="Gill Sans MT"/>
        </w:rPr>
      </w:pPr>
      <w:r w:rsidRPr="00D443CB">
        <w:rPr>
          <w:rFonts w:ascii="Gill Sans MT" w:hAnsi="Gill Sans MT"/>
        </w:rPr>
        <w:t xml:space="preserve">The </w:t>
      </w:r>
      <w:r w:rsidRPr="00D443CB">
        <w:rPr>
          <w:rFonts w:ascii="Gill Sans MT" w:hAnsi="Gill Sans MT"/>
          <w:b/>
        </w:rPr>
        <w:t>capability stage</w:t>
      </w:r>
      <w:r w:rsidRPr="00D443CB">
        <w:rPr>
          <w:rFonts w:ascii="Gill Sans MT" w:hAnsi="Gill Sans MT"/>
        </w:rPr>
        <w:t xml:space="preserve"> assigned to a component reflects the degree to which that component meets the diagnostic network standard. The stages are quantified using a semi-quantitative, six-step staging system from stage 0 (completely absent) to stage 5 (fully compliant with international standards).</w:t>
      </w:r>
    </w:p>
    <w:p w14:paraId="3AFE40F9" w14:textId="401CE7C2" w:rsidR="0092143C" w:rsidRPr="00D443CB" w:rsidRDefault="0092143C" w:rsidP="00684696">
      <w:pPr>
        <w:spacing w:after="0" w:line="240" w:lineRule="auto"/>
        <w:jc w:val="both"/>
        <w:rPr>
          <w:rFonts w:ascii="Gill Sans MT" w:hAnsi="Gill Sans MT"/>
        </w:rPr>
      </w:pPr>
    </w:p>
    <w:p w14:paraId="3CF19B27" w14:textId="02C7E620" w:rsidR="00AC4E87" w:rsidRPr="00D443CB" w:rsidRDefault="00AC4E87" w:rsidP="00684696">
      <w:pPr>
        <w:spacing w:after="0" w:line="240" w:lineRule="auto"/>
        <w:jc w:val="both"/>
        <w:rPr>
          <w:rFonts w:ascii="Gill Sans MT" w:hAnsi="Gill Sans MT"/>
        </w:rPr>
      </w:pPr>
      <w:r w:rsidRPr="00D443CB">
        <w:rPr>
          <w:rFonts w:ascii="Gill Sans MT" w:hAnsi="Gill Sans MT"/>
          <w:b/>
        </w:rPr>
        <w:t>Verification visit</w:t>
      </w:r>
      <w:r w:rsidR="00791091" w:rsidRPr="00D443CB">
        <w:rPr>
          <w:rFonts w:ascii="Gill Sans MT" w:hAnsi="Gill Sans MT"/>
          <w:b/>
        </w:rPr>
        <w:t>s</w:t>
      </w:r>
      <w:r w:rsidR="00714FA9" w:rsidRPr="00D443CB">
        <w:rPr>
          <w:rFonts w:ascii="Gill Sans MT" w:hAnsi="Gill Sans MT"/>
        </w:rPr>
        <w:t>.</w:t>
      </w:r>
      <w:r w:rsidR="00791091" w:rsidRPr="00D443CB">
        <w:rPr>
          <w:rFonts w:ascii="Gill Sans MT" w:hAnsi="Gill Sans MT"/>
        </w:rPr>
        <w:t xml:space="preserve"> </w:t>
      </w:r>
      <w:r w:rsidR="00714FA9" w:rsidRPr="00D443CB">
        <w:rPr>
          <w:rFonts w:ascii="Gill Sans MT" w:hAnsi="Gill Sans MT"/>
        </w:rPr>
        <w:t>S</w:t>
      </w:r>
      <w:r w:rsidR="00F9769E" w:rsidRPr="00D443CB">
        <w:rPr>
          <w:rFonts w:ascii="Gill Sans MT" w:hAnsi="Gill Sans MT"/>
        </w:rPr>
        <w:t xml:space="preserve">ite visits with laboratory and program staff at the national, intermediate and peripheral levels to verify the </w:t>
      </w:r>
      <w:r w:rsidR="00E4671E" w:rsidRPr="00D443CB">
        <w:rPr>
          <w:rFonts w:ascii="Gill Sans MT" w:hAnsi="Gill Sans MT"/>
        </w:rPr>
        <w:t xml:space="preserve">stages assigned in the </w:t>
      </w:r>
      <w:r w:rsidR="00F9769E" w:rsidRPr="00D443CB">
        <w:rPr>
          <w:rFonts w:ascii="Gill Sans MT" w:hAnsi="Gill Sans MT"/>
        </w:rPr>
        <w:t xml:space="preserve">self-assessment done by the national program. </w:t>
      </w:r>
      <w:r w:rsidR="00DE031B" w:rsidRPr="00D443CB">
        <w:rPr>
          <w:rFonts w:ascii="Gill Sans MT" w:hAnsi="Gill Sans MT"/>
        </w:rPr>
        <w:t xml:space="preserve">Verification visits are </w:t>
      </w:r>
      <w:r w:rsidR="00DE031B" w:rsidRPr="00D443CB">
        <w:rPr>
          <w:rFonts w:ascii="Gill Sans MT" w:hAnsi="Gill Sans MT"/>
          <w:u w:val="single"/>
        </w:rPr>
        <w:t>not</w:t>
      </w:r>
      <w:r w:rsidR="00DE031B" w:rsidRPr="00D443CB">
        <w:rPr>
          <w:rFonts w:ascii="Gill Sans MT" w:hAnsi="Gill Sans MT"/>
        </w:rPr>
        <w:t xml:space="preserve"> visits to evaluate the performance or competencies of individual laboratories.</w:t>
      </w:r>
    </w:p>
    <w:p w14:paraId="2302CCF4" w14:textId="77777777" w:rsidR="00AC4E87" w:rsidRPr="00D443CB" w:rsidRDefault="00AC4E87" w:rsidP="00684696">
      <w:pPr>
        <w:spacing w:after="0" w:line="240" w:lineRule="auto"/>
        <w:jc w:val="both"/>
        <w:rPr>
          <w:rFonts w:ascii="Gill Sans MT" w:hAnsi="Gill Sans MT"/>
        </w:rPr>
      </w:pPr>
    </w:p>
    <w:p w14:paraId="42996714" w14:textId="286BA10C" w:rsidR="00E25587" w:rsidRPr="00D443CB" w:rsidRDefault="00E25587" w:rsidP="00684696">
      <w:pPr>
        <w:spacing w:after="0" w:line="240" w:lineRule="auto"/>
        <w:jc w:val="both"/>
        <w:rPr>
          <w:rFonts w:ascii="Gill Sans MT" w:hAnsi="Gill Sans MT"/>
        </w:rPr>
      </w:pPr>
      <w:r w:rsidRPr="00D443CB">
        <w:rPr>
          <w:rFonts w:ascii="Gill Sans MT" w:hAnsi="Gill Sans MT"/>
        </w:rPr>
        <w:br w:type="page"/>
      </w:r>
    </w:p>
    <w:p w14:paraId="0FF5A52C" w14:textId="625E6630" w:rsidR="00FF1935" w:rsidRPr="00D443CB" w:rsidRDefault="00967DCC" w:rsidP="00FC763C">
      <w:pPr>
        <w:pStyle w:val="ListParagraph"/>
        <w:widowControl w:val="0"/>
        <w:numPr>
          <w:ilvl w:val="0"/>
          <w:numId w:val="3"/>
        </w:numPr>
        <w:tabs>
          <w:tab w:val="left" w:pos="1440"/>
        </w:tabs>
        <w:autoSpaceDE w:val="0"/>
        <w:autoSpaceDN w:val="0"/>
        <w:adjustRightInd w:val="0"/>
        <w:spacing w:after="0" w:line="240" w:lineRule="auto"/>
        <w:ind w:left="360"/>
        <w:outlineLvl w:val="0"/>
        <w:rPr>
          <w:rFonts w:ascii="Gill Sans MT" w:hAnsi="Gill Sans MT" w:cstheme="minorHAnsi"/>
          <w:sz w:val="28"/>
          <w:szCs w:val="28"/>
        </w:rPr>
      </w:pPr>
      <w:r w:rsidRPr="00D443CB">
        <w:rPr>
          <w:rFonts w:ascii="Gill Sans MT" w:hAnsi="Gill Sans MT" w:cs="Calibri Light"/>
          <w:sz w:val="40"/>
          <w:szCs w:val="40"/>
        </w:rPr>
        <w:lastRenderedPageBreak/>
        <w:t xml:space="preserve"> </w:t>
      </w:r>
      <w:bookmarkStart w:id="15" w:name="_Toc37317817"/>
      <w:r w:rsidR="00FF1935" w:rsidRPr="00D443CB">
        <w:rPr>
          <w:rFonts w:ascii="Gill Sans MT" w:hAnsi="Gill Sans MT" w:cstheme="minorHAnsi"/>
          <w:sz w:val="28"/>
          <w:szCs w:val="28"/>
        </w:rPr>
        <w:t>Introduction</w:t>
      </w:r>
      <w:bookmarkEnd w:id="15"/>
    </w:p>
    <w:p w14:paraId="00CF18D8" w14:textId="38ADDF5E" w:rsidR="00571F6F" w:rsidRPr="00D443CB" w:rsidRDefault="00571F6F" w:rsidP="008F79FE">
      <w:pPr>
        <w:widowControl w:val="0"/>
        <w:tabs>
          <w:tab w:val="left" w:pos="5805"/>
        </w:tabs>
        <w:autoSpaceDE w:val="0"/>
        <w:autoSpaceDN w:val="0"/>
        <w:adjustRightInd w:val="0"/>
        <w:spacing w:after="0" w:line="240" w:lineRule="auto"/>
        <w:jc w:val="both"/>
        <w:rPr>
          <w:rFonts w:ascii="Gill Sans MT" w:hAnsi="Gill Sans MT" w:cs="Calibri"/>
        </w:rPr>
      </w:pPr>
      <w:r w:rsidRPr="00D443CB">
        <w:rPr>
          <w:rFonts w:ascii="Gill Sans MT" w:hAnsi="Gill Sans MT" w:cs="Calibri"/>
        </w:rPr>
        <w:t>WHO’s global strategy for TB prevention, care and control for 2015–2035</w:t>
      </w:r>
      <w:r w:rsidR="00E25587" w:rsidRPr="00D443CB">
        <w:rPr>
          <w:rStyle w:val="FootnoteReference"/>
          <w:rFonts w:ascii="Gill Sans MT" w:hAnsi="Gill Sans MT"/>
        </w:rPr>
        <w:footnoteReference w:id="2"/>
      </w:r>
      <w:r w:rsidRPr="00D443CB">
        <w:rPr>
          <w:rFonts w:ascii="Gill Sans MT" w:hAnsi="Gill Sans MT" w:cs="Calibri"/>
        </w:rPr>
        <w:t xml:space="preserve"> (the End TB Strategy) calls for the early diagnosis of TB and universal </w:t>
      </w:r>
      <w:r w:rsidR="00646267" w:rsidRPr="00D443CB">
        <w:rPr>
          <w:rFonts w:ascii="Gill Sans MT" w:hAnsi="Gill Sans MT" w:cs="Calibri"/>
        </w:rPr>
        <w:t>drug-susceptibility testing (</w:t>
      </w:r>
      <w:r w:rsidRPr="00D443CB">
        <w:rPr>
          <w:rFonts w:ascii="Gill Sans MT" w:hAnsi="Gill Sans MT" w:cs="Calibri"/>
        </w:rPr>
        <w:t>DST</w:t>
      </w:r>
      <w:r w:rsidR="00646267" w:rsidRPr="00D443CB">
        <w:rPr>
          <w:rFonts w:ascii="Gill Sans MT" w:hAnsi="Gill Sans MT" w:cs="Calibri"/>
        </w:rPr>
        <w:t>)</w:t>
      </w:r>
      <w:r w:rsidRPr="00D443CB">
        <w:rPr>
          <w:rFonts w:ascii="Gill Sans MT" w:hAnsi="Gill Sans MT" w:cs="Calibri"/>
        </w:rPr>
        <w:t xml:space="preserve">. The End TB Strategy highlights the critical role of laboratories and emphasizes that </w:t>
      </w:r>
      <w:r w:rsidR="00E25587" w:rsidRPr="00D443CB">
        <w:rPr>
          <w:rFonts w:ascii="Gill Sans MT" w:hAnsi="Gill Sans MT" w:cs="Calibri"/>
        </w:rPr>
        <w:t>meeting</w:t>
      </w:r>
      <w:r w:rsidRPr="00D443CB">
        <w:rPr>
          <w:rFonts w:ascii="Gill Sans MT" w:hAnsi="Gill Sans MT" w:cs="Calibri"/>
        </w:rPr>
        <w:t xml:space="preserve"> the </w:t>
      </w:r>
      <w:r w:rsidR="00646267" w:rsidRPr="00D443CB">
        <w:rPr>
          <w:rFonts w:ascii="Gill Sans MT" w:hAnsi="Gill Sans MT" w:cs="Calibri"/>
        </w:rPr>
        <w:t xml:space="preserve">targets of the </w:t>
      </w:r>
      <w:r w:rsidRPr="00D443CB">
        <w:rPr>
          <w:rFonts w:ascii="Gill Sans MT" w:hAnsi="Gill Sans MT" w:cs="Calibri"/>
        </w:rPr>
        <w:t>End TB Strategy</w:t>
      </w:r>
      <w:r w:rsidR="00F91F68" w:rsidRPr="00D443CB">
        <w:rPr>
          <w:rFonts w:ascii="Gill Sans MT" w:hAnsi="Gill Sans MT" w:cs="Calibri"/>
        </w:rPr>
        <w:t xml:space="preserve"> will require that</w:t>
      </w:r>
      <w:r w:rsidRPr="00D443CB">
        <w:rPr>
          <w:rFonts w:ascii="Gill Sans MT" w:hAnsi="Gill Sans MT" w:cs="Calibri"/>
        </w:rPr>
        <w:t xml:space="preserve"> WHO-recommended rapid TB diagnostics (WRDs) </w:t>
      </w:r>
      <w:r w:rsidR="00F91F68" w:rsidRPr="00D443CB">
        <w:rPr>
          <w:rFonts w:ascii="Gill Sans MT" w:hAnsi="Gill Sans MT" w:cs="Calibri"/>
        </w:rPr>
        <w:t>are</w:t>
      </w:r>
      <w:r w:rsidRPr="00D443CB">
        <w:rPr>
          <w:rFonts w:ascii="Gill Sans MT" w:hAnsi="Gill Sans MT" w:cs="Calibri"/>
        </w:rPr>
        <w:t xml:space="preserve"> available to all persons with signs or symptoms of TB; all bacterio</w:t>
      </w:r>
      <w:r w:rsidR="00F91F68" w:rsidRPr="00D443CB">
        <w:rPr>
          <w:rFonts w:ascii="Gill Sans MT" w:hAnsi="Gill Sans MT" w:cs="Calibri"/>
        </w:rPr>
        <w:t xml:space="preserve">logically confirmed TB patients </w:t>
      </w:r>
      <w:r w:rsidRPr="00D443CB">
        <w:rPr>
          <w:rFonts w:ascii="Gill Sans MT" w:hAnsi="Gill Sans MT" w:cs="Calibri"/>
        </w:rPr>
        <w:t xml:space="preserve">receive DST at least for rifampicin; and all patients with rifampicin-resistant TB </w:t>
      </w:r>
      <w:r w:rsidR="00E25587" w:rsidRPr="00D443CB">
        <w:rPr>
          <w:rFonts w:ascii="Gill Sans MT" w:hAnsi="Gill Sans MT" w:cs="Calibri"/>
        </w:rPr>
        <w:t xml:space="preserve">(RR-TB) </w:t>
      </w:r>
      <w:r w:rsidRPr="00D443CB">
        <w:rPr>
          <w:rFonts w:ascii="Gill Sans MT" w:hAnsi="Gill Sans MT" w:cs="Calibri"/>
        </w:rPr>
        <w:t xml:space="preserve">receive DST at least for fluoroquinolones (FQs) and second-line injectable drugs (SLIDs). WHO </w:t>
      </w:r>
      <w:r w:rsidR="00F91F68" w:rsidRPr="00D443CB">
        <w:rPr>
          <w:rFonts w:ascii="Gill Sans MT" w:hAnsi="Gill Sans MT" w:cs="Calibri"/>
        </w:rPr>
        <w:t xml:space="preserve">recommends that national TB programs </w:t>
      </w:r>
      <w:r w:rsidRPr="00D443CB">
        <w:rPr>
          <w:rFonts w:ascii="Gill Sans MT" w:hAnsi="Gill Sans MT" w:cs="Calibri"/>
        </w:rPr>
        <w:t>prioritize the development of a network of TB laboratories that use modern diagnostics, have efficient referral systems, use standard operating procedures (SOPs) and appropriate quality ass</w:t>
      </w:r>
      <w:r w:rsidR="00D3472D" w:rsidRPr="00D443CB">
        <w:rPr>
          <w:rFonts w:ascii="Gill Sans MT" w:hAnsi="Gill Sans MT" w:cs="Calibri"/>
        </w:rPr>
        <w:t>essment</w:t>
      </w:r>
      <w:r w:rsidRPr="00D443CB">
        <w:rPr>
          <w:rFonts w:ascii="Gill Sans MT" w:hAnsi="Gill Sans MT" w:cs="Calibri"/>
        </w:rPr>
        <w:t xml:space="preserve"> (QA) processes, and have adequate biosafety and sufficient human resources</w:t>
      </w:r>
      <w:r w:rsidR="002103C0" w:rsidRPr="00D443CB">
        <w:rPr>
          <w:rFonts w:ascii="Gill Sans MT" w:hAnsi="Gill Sans MT" w:cs="Calibri"/>
          <w:vertAlign w:val="superscript"/>
        </w:rPr>
        <w:t>4,</w:t>
      </w:r>
      <w:r w:rsidR="002103C0" w:rsidRPr="00D443CB">
        <w:rPr>
          <w:rStyle w:val="FootnoteReference"/>
          <w:rFonts w:ascii="Gill Sans MT" w:hAnsi="Gill Sans MT"/>
        </w:rPr>
        <w:footnoteReference w:id="3"/>
      </w:r>
      <w:r w:rsidRPr="00D443CB">
        <w:rPr>
          <w:rFonts w:ascii="Gill Sans MT" w:hAnsi="Gill Sans MT" w:cs="Calibri"/>
        </w:rPr>
        <w:t>. These priorities should be comprehensively addressed in national strategic plans and adequately funded.</w:t>
      </w:r>
    </w:p>
    <w:p w14:paraId="23FDF300" w14:textId="77777777" w:rsidR="009860F7" w:rsidRPr="00D443CB" w:rsidRDefault="009860F7">
      <w:pPr>
        <w:widowControl w:val="0"/>
        <w:tabs>
          <w:tab w:val="left" w:pos="5805"/>
        </w:tabs>
        <w:autoSpaceDE w:val="0"/>
        <w:autoSpaceDN w:val="0"/>
        <w:adjustRightInd w:val="0"/>
        <w:spacing w:after="0" w:line="240" w:lineRule="auto"/>
        <w:jc w:val="both"/>
        <w:rPr>
          <w:rFonts w:ascii="Gill Sans MT" w:hAnsi="Gill Sans MT" w:cs="Calibri"/>
        </w:rPr>
      </w:pPr>
    </w:p>
    <w:p w14:paraId="441CF481" w14:textId="18B47C86" w:rsidR="009972C0" w:rsidRPr="00D443CB" w:rsidRDefault="009972C0" w:rsidP="008F79FE">
      <w:pPr>
        <w:spacing w:after="0" w:line="240" w:lineRule="auto"/>
        <w:jc w:val="both"/>
        <w:rPr>
          <w:rFonts w:ascii="Gill Sans MT" w:hAnsi="Gill Sans MT"/>
        </w:rPr>
      </w:pPr>
      <w:r w:rsidRPr="00D443CB">
        <w:rPr>
          <w:rFonts w:ascii="Gill Sans MT" w:hAnsi="Gill Sans MT" w:cstheme="minorBidi"/>
        </w:rPr>
        <w:t>The TB diagnostic process (Figure 1) starts with the person experiencing symptoms and deciding to seek care (</w:t>
      </w:r>
      <w:r w:rsidR="006574D2" w:rsidRPr="00D443CB">
        <w:rPr>
          <w:rFonts w:ascii="Gill Sans MT" w:hAnsi="Gill Sans MT" w:cstheme="minorBidi"/>
        </w:rPr>
        <w:t>i.e.</w:t>
      </w:r>
      <w:r w:rsidRPr="00D443CB">
        <w:rPr>
          <w:rFonts w:ascii="Gill Sans MT" w:hAnsi="Gill Sans MT" w:cstheme="minorBidi"/>
        </w:rPr>
        <w:t>, passive case finding) or a health care worker identifying a person to be evaluated for TB (</w:t>
      </w:r>
      <w:r w:rsidR="006574D2" w:rsidRPr="00D443CB">
        <w:rPr>
          <w:rFonts w:ascii="Gill Sans MT" w:hAnsi="Gill Sans MT" w:cstheme="minorBidi"/>
        </w:rPr>
        <w:t>i.e.</w:t>
      </w:r>
      <w:r w:rsidRPr="00D443CB">
        <w:rPr>
          <w:rFonts w:ascii="Gill Sans MT" w:hAnsi="Gill Sans MT" w:cstheme="minorBidi"/>
        </w:rPr>
        <w:t>, active case finding). The process continues with the ordering of an appropriate test by a health care worker, timely and safe referral of the specimen under appropriate transit conditions to the</w:t>
      </w:r>
      <w:r w:rsidRPr="00D443CB" w:rsidDel="001B0786">
        <w:rPr>
          <w:rFonts w:ascii="Gill Sans MT" w:hAnsi="Gill Sans MT" w:cstheme="minorBidi"/>
        </w:rPr>
        <w:t xml:space="preserve"> </w:t>
      </w:r>
      <w:r w:rsidRPr="00D443CB">
        <w:rPr>
          <w:rFonts w:ascii="Gill Sans MT" w:hAnsi="Gill Sans MT" w:cstheme="minorBidi"/>
        </w:rPr>
        <w:t>laboratory, accurate and quality-assured testing by the laboratory, return and receipt of the test results by the health care worker, initiation of appropriate treatment,</w:t>
      </w:r>
      <w:r w:rsidR="00065C81" w:rsidRPr="00D443CB">
        <w:rPr>
          <w:rFonts w:ascii="Gill Sans MT" w:hAnsi="Gill Sans MT" w:cstheme="minorBidi"/>
        </w:rPr>
        <w:t xml:space="preserve"> </w:t>
      </w:r>
      <w:r w:rsidRPr="00D443CB">
        <w:rPr>
          <w:rFonts w:ascii="Gill Sans MT" w:hAnsi="Gill Sans MT" w:cstheme="minorBidi"/>
        </w:rPr>
        <w:t>monitoring of response to therapy</w:t>
      </w:r>
      <w:r w:rsidR="00A77785" w:rsidRPr="00D443CB">
        <w:rPr>
          <w:rFonts w:ascii="Gill Sans MT" w:hAnsi="Gill Sans MT" w:cstheme="minorBidi"/>
        </w:rPr>
        <w:t xml:space="preserve"> and post treatment follow-up</w:t>
      </w:r>
      <w:r w:rsidR="008F79FE" w:rsidRPr="00D443CB">
        <w:rPr>
          <w:rFonts w:ascii="Gill Sans MT" w:hAnsi="Gill Sans MT" w:cstheme="minorBidi"/>
        </w:rPr>
        <w:t xml:space="preserve"> </w:t>
      </w:r>
      <w:r w:rsidR="00A77785" w:rsidRPr="00D443CB">
        <w:rPr>
          <w:rFonts w:ascii="Gill Sans MT" w:hAnsi="Gill Sans MT" w:cstheme="minorBidi"/>
        </w:rPr>
        <w:t>for potential relapse cases)</w:t>
      </w:r>
      <w:r w:rsidRPr="00D443CB">
        <w:rPr>
          <w:rFonts w:ascii="Gill Sans MT" w:hAnsi="Gill Sans MT" w:cstheme="minorBidi"/>
        </w:rPr>
        <w:t>. Attrition from or delays in any of the steps can reduce the clinical and public health impact of the laboratory test.</w:t>
      </w:r>
    </w:p>
    <w:p w14:paraId="31A62D80" w14:textId="77777777" w:rsidR="009972C0" w:rsidRPr="00D443CB" w:rsidRDefault="009972C0" w:rsidP="009972C0">
      <w:pPr>
        <w:spacing w:after="0" w:line="240" w:lineRule="auto"/>
        <w:rPr>
          <w:rFonts w:ascii="Gill Sans MT" w:hAnsi="Gill Sans MT" w:cstheme="minorHAnsi"/>
        </w:rPr>
      </w:pPr>
    </w:p>
    <w:p w14:paraId="17DA2618" w14:textId="1CC1FBCC" w:rsidR="009972C0" w:rsidRPr="00D443CB" w:rsidRDefault="009972C0" w:rsidP="009972C0">
      <w:pPr>
        <w:spacing w:after="0" w:line="240" w:lineRule="auto"/>
        <w:rPr>
          <w:rFonts w:ascii="Gill Sans MT" w:hAnsi="Gill Sans MT" w:cstheme="minorHAnsi"/>
        </w:rPr>
      </w:pPr>
      <w:r w:rsidRPr="00D443CB">
        <w:rPr>
          <w:rFonts w:ascii="Gill Sans MT" w:hAnsi="Gill Sans MT" w:cstheme="minorHAnsi"/>
          <w:noProof/>
        </w:rPr>
        <w:drawing>
          <wp:inline distT="0" distB="0" distL="0" distR="0" wp14:anchorId="58E59015" wp14:editId="34BA56F9">
            <wp:extent cx="6278880" cy="159017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8880" cy="1590174"/>
                    </a:xfrm>
                    <a:prstGeom prst="rect">
                      <a:avLst/>
                    </a:prstGeom>
                    <a:noFill/>
                  </pic:spPr>
                </pic:pic>
              </a:graphicData>
            </a:graphic>
          </wp:inline>
        </w:drawing>
      </w:r>
    </w:p>
    <w:p w14:paraId="395D9584" w14:textId="77777777" w:rsidR="00AF6C68" w:rsidRPr="00D443CB" w:rsidRDefault="00AF6C68" w:rsidP="00AF6C68">
      <w:pPr>
        <w:pStyle w:val="BodyText"/>
        <w:spacing w:before="1"/>
        <w:rPr>
          <w:rFonts w:ascii="Gill Sans MT" w:hAnsi="Gill Sans MT" w:cstheme="minorHAnsi"/>
          <w:color w:val="000000" w:themeColor="text1"/>
          <w:sz w:val="22"/>
          <w:szCs w:val="22"/>
        </w:rPr>
      </w:pPr>
      <w:r w:rsidRPr="00D443CB">
        <w:rPr>
          <w:rFonts w:ascii="Gill Sans MT" w:hAnsi="Gill Sans MT" w:cstheme="minorHAnsi"/>
          <w:b/>
          <w:color w:val="000000" w:themeColor="text1"/>
          <w:sz w:val="22"/>
          <w:szCs w:val="22"/>
        </w:rPr>
        <w:t>Figure 1</w:t>
      </w:r>
      <w:r w:rsidRPr="00D443CB">
        <w:rPr>
          <w:rFonts w:ascii="Gill Sans MT" w:hAnsi="Gill Sans MT" w:cstheme="minorHAnsi"/>
          <w:color w:val="000000" w:themeColor="text1"/>
          <w:sz w:val="22"/>
          <w:szCs w:val="22"/>
        </w:rPr>
        <w:t>. The TB diagnostic process</w:t>
      </w:r>
    </w:p>
    <w:p w14:paraId="3C5AD017" w14:textId="77777777" w:rsidR="00AF6C68" w:rsidRPr="00D443CB" w:rsidRDefault="00AF6C68" w:rsidP="009972C0">
      <w:pPr>
        <w:spacing w:after="0" w:line="240" w:lineRule="auto"/>
        <w:rPr>
          <w:rFonts w:ascii="Gill Sans MT" w:hAnsi="Gill Sans MT" w:cstheme="minorHAnsi"/>
        </w:rPr>
      </w:pPr>
    </w:p>
    <w:p w14:paraId="44E9D489" w14:textId="20A37451" w:rsidR="00AF6C68" w:rsidRPr="00D443CB" w:rsidRDefault="00AF6C68" w:rsidP="008F79FE">
      <w:pPr>
        <w:spacing w:after="0" w:line="240" w:lineRule="auto"/>
        <w:jc w:val="both"/>
        <w:rPr>
          <w:rFonts w:ascii="Gill Sans MT" w:hAnsi="Gill Sans MT"/>
        </w:rPr>
      </w:pPr>
      <w:r w:rsidRPr="00D443CB">
        <w:rPr>
          <w:rFonts w:ascii="Gill Sans MT" w:hAnsi="Gill Sans MT"/>
        </w:rPr>
        <w:t>A recent study</w:t>
      </w:r>
      <w:r w:rsidRPr="00D443CB">
        <w:rPr>
          <w:rStyle w:val="FootnoteReference"/>
          <w:rFonts w:ascii="Gill Sans MT" w:hAnsi="Gill Sans MT"/>
        </w:rPr>
        <w:footnoteReference w:id="4"/>
      </w:r>
      <w:r w:rsidRPr="00D443CB">
        <w:rPr>
          <w:rFonts w:ascii="Gill Sans MT" w:hAnsi="Gill Sans MT"/>
        </w:rPr>
        <w:t xml:space="preserve"> of the TB diagnostic cascade in India revealed that in 2013, only 39% of the estimated 2.7 million new TB patients complete the entire patient pathway to achieve a sustained cure. Significant losses along the patient pathway include 1) </w:t>
      </w:r>
      <w:bookmarkStart w:id="16" w:name="_Hlk516468304"/>
      <w:r w:rsidRPr="00D443CB">
        <w:rPr>
          <w:rFonts w:ascii="Gill Sans MT" w:hAnsi="Gill Sans MT"/>
        </w:rPr>
        <w:t>only 72% of estimated TB patients reach a TB diagnostic center, 2) of these only 84% are diagnosed with TB, 3) of these 87% are registered for treatment, and 4) of these only 74% achieve a sustained cure (Figure 1). Streng</w:t>
      </w:r>
      <w:bookmarkEnd w:id="16"/>
      <w:r w:rsidRPr="00D443CB">
        <w:rPr>
          <w:rFonts w:ascii="Gill Sans MT" w:hAnsi="Gill Sans MT"/>
        </w:rPr>
        <w:t xml:space="preserve">thening the entire diagnostic network and patient pathway can produce reductions in the time from </w:t>
      </w:r>
      <w:r w:rsidR="00EB0010" w:rsidRPr="00D443CB">
        <w:rPr>
          <w:rFonts w:ascii="Gill Sans MT" w:hAnsi="Gill Sans MT"/>
        </w:rPr>
        <w:t>the moment when the patient seeks care</w:t>
      </w:r>
      <w:r w:rsidRPr="00D443CB">
        <w:rPr>
          <w:rFonts w:ascii="Gill Sans MT" w:hAnsi="Gill Sans MT"/>
        </w:rPr>
        <w:t xml:space="preserve"> to a clinician making a patient care decision, reduce loss to follow up, and increase access to</w:t>
      </w:r>
      <w:r w:rsidR="00213FEE" w:rsidRPr="00D443CB">
        <w:rPr>
          <w:rFonts w:ascii="Gill Sans MT" w:hAnsi="Gill Sans MT"/>
        </w:rPr>
        <w:t xml:space="preserve"> quality assured</w:t>
      </w:r>
      <w:r w:rsidRPr="00D443CB">
        <w:rPr>
          <w:rFonts w:ascii="Gill Sans MT" w:hAnsi="Gill Sans MT"/>
        </w:rPr>
        <w:t xml:space="preserve"> laboratory services for all patients.</w:t>
      </w:r>
    </w:p>
    <w:p w14:paraId="1D23D696" w14:textId="7EA2A0C8" w:rsidR="00DB5DF5" w:rsidRPr="00D443CB" w:rsidRDefault="00DB5DF5" w:rsidP="008F79FE">
      <w:pPr>
        <w:spacing w:after="0" w:line="240" w:lineRule="auto"/>
        <w:jc w:val="both"/>
        <w:rPr>
          <w:rFonts w:ascii="Gill Sans MT" w:hAnsi="Gill Sans MT"/>
        </w:rPr>
      </w:pPr>
      <w:r w:rsidRPr="00D443CB">
        <w:rPr>
          <w:rFonts w:ascii="Gill Sans MT" w:hAnsi="Gill Sans MT"/>
        </w:rPr>
        <w:lastRenderedPageBreak/>
        <w:t>Similar results were observed in a study in South Africa</w:t>
      </w:r>
      <w:r w:rsidRPr="00D443CB">
        <w:rPr>
          <w:rStyle w:val="FootnoteReference"/>
          <w:rFonts w:ascii="Gill Sans MT" w:hAnsi="Gill Sans MT"/>
        </w:rPr>
        <w:footnoteReference w:id="5"/>
      </w:r>
      <w:r w:rsidRPr="00D443CB">
        <w:rPr>
          <w:rFonts w:ascii="Gill Sans MT" w:hAnsi="Gill Sans MT"/>
        </w:rPr>
        <w:t>, which reported losses of 5% during access to laboratory services, 13% during diagnosis, 12% during registration and treatment initiation and 17% during treatment.</w:t>
      </w:r>
    </w:p>
    <w:p w14:paraId="1EC0FC19" w14:textId="3AEABE7B" w:rsidR="002C5139" w:rsidRPr="00D443CB" w:rsidRDefault="002C5139" w:rsidP="008F79FE">
      <w:pPr>
        <w:spacing w:after="0" w:line="240" w:lineRule="auto"/>
        <w:jc w:val="both"/>
        <w:rPr>
          <w:rFonts w:ascii="Gill Sans MT" w:hAnsi="Gill Sans MT"/>
        </w:rPr>
      </w:pPr>
    </w:p>
    <w:p w14:paraId="6ABD4994" w14:textId="21D73CF4" w:rsidR="00AF6C68" w:rsidRPr="00D443CB" w:rsidRDefault="00AF6C68" w:rsidP="008F79FE">
      <w:pPr>
        <w:spacing w:after="0" w:line="240" w:lineRule="auto"/>
        <w:jc w:val="both"/>
        <w:rPr>
          <w:rFonts w:ascii="Gill Sans MT" w:hAnsi="Gill Sans MT"/>
        </w:rPr>
      </w:pPr>
      <w:r w:rsidRPr="00D443CB">
        <w:rPr>
          <w:rFonts w:ascii="Gill Sans MT" w:hAnsi="Gill Sans MT" w:cstheme="minorHAnsi"/>
        </w:rPr>
        <w:t>A comprehensive, high-quality TB diagnostic network is essential to diagnose TB accurately and rapidly</w:t>
      </w:r>
      <w:r w:rsidR="00EB0010" w:rsidRPr="00D443CB">
        <w:rPr>
          <w:rFonts w:ascii="Gill Sans MT" w:hAnsi="Gill Sans MT" w:cstheme="minorHAnsi"/>
        </w:rPr>
        <w:t>;</w:t>
      </w:r>
      <w:r w:rsidRPr="00D443CB">
        <w:rPr>
          <w:rFonts w:ascii="Gill Sans MT" w:hAnsi="Gill Sans MT" w:cstheme="minorHAnsi"/>
        </w:rPr>
        <w:t xml:space="preserve"> to link </w:t>
      </w:r>
      <w:r w:rsidR="00813982" w:rsidRPr="00D443CB">
        <w:rPr>
          <w:rFonts w:ascii="Gill Sans MT" w:hAnsi="Gill Sans MT" w:cstheme="minorHAnsi"/>
        </w:rPr>
        <w:t>bacteriologically</w:t>
      </w:r>
      <w:r w:rsidR="00A27124" w:rsidRPr="00D443CB">
        <w:rPr>
          <w:rFonts w:ascii="Gill Sans MT" w:hAnsi="Gill Sans MT" w:cstheme="minorHAnsi"/>
        </w:rPr>
        <w:t xml:space="preserve"> </w:t>
      </w:r>
      <w:r w:rsidRPr="00D443CB">
        <w:rPr>
          <w:rFonts w:ascii="Gill Sans MT" w:hAnsi="Gill Sans MT" w:cstheme="minorHAnsi"/>
        </w:rPr>
        <w:t>confirmed TB patients to appropriate and timely treatment</w:t>
      </w:r>
      <w:r w:rsidR="00EB0010" w:rsidRPr="00D443CB">
        <w:rPr>
          <w:rFonts w:ascii="Gill Sans MT" w:hAnsi="Gill Sans MT" w:cstheme="minorHAnsi"/>
        </w:rPr>
        <w:t>; and to monitor patients on therapy</w:t>
      </w:r>
      <w:r w:rsidRPr="00D443CB">
        <w:rPr>
          <w:rFonts w:ascii="Gill Sans MT" w:hAnsi="Gill Sans MT" w:cstheme="minorHAnsi"/>
        </w:rPr>
        <w:t>. Laborator</w:t>
      </w:r>
      <w:r w:rsidR="009A044C" w:rsidRPr="00D443CB">
        <w:rPr>
          <w:rFonts w:ascii="Gill Sans MT" w:hAnsi="Gill Sans MT" w:cstheme="minorHAnsi"/>
        </w:rPr>
        <w:t>y</w:t>
      </w:r>
      <w:r w:rsidRPr="00D443CB">
        <w:rPr>
          <w:rFonts w:ascii="Gill Sans MT" w:hAnsi="Gill Sans MT" w:cstheme="minorHAnsi"/>
        </w:rPr>
        <w:t xml:space="preserve"> services are </w:t>
      </w:r>
      <w:r w:rsidR="002A4E66" w:rsidRPr="00D443CB">
        <w:rPr>
          <w:rFonts w:ascii="Gill Sans MT" w:hAnsi="Gill Sans MT" w:cstheme="minorHAnsi"/>
        </w:rPr>
        <w:t xml:space="preserve">a </w:t>
      </w:r>
      <w:r w:rsidRPr="00D443CB">
        <w:rPr>
          <w:rFonts w:ascii="Gill Sans MT" w:hAnsi="Gill Sans MT" w:cstheme="minorHAnsi"/>
        </w:rPr>
        <w:t>key component</w:t>
      </w:r>
      <w:r w:rsidR="002A4E66" w:rsidRPr="00D443CB">
        <w:rPr>
          <w:rFonts w:ascii="Gill Sans MT" w:hAnsi="Gill Sans MT" w:cstheme="minorHAnsi"/>
        </w:rPr>
        <w:t xml:space="preserve"> of</w:t>
      </w:r>
      <w:r w:rsidRPr="00D443CB">
        <w:rPr>
          <w:rFonts w:ascii="Gill Sans MT" w:hAnsi="Gill Sans MT" w:cstheme="minorHAnsi"/>
        </w:rPr>
        <w:t xml:space="preserve"> a well-functioning diagnostic network</w:t>
      </w:r>
      <w:r w:rsidR="002A4E66" w:rsidRPr="00D443CB">
        <w:rPr>
          <w:rFonts w:ascii="Gill Sans MT" w:hAnsi="Gill Sans MT" w:cstheme="minorHAnsi"/>
        </w:rPr>
        <w:t>. H</w:t>
      </w:r>
      <w:r w:rsidRPr="00D443CB">
        <w:rPr>
          <w:rFonts w:ascii="Gill Sans MT" w:hAnsi="Gill Sans MT" w:cstheme="minorHAnsi"/>
        </w:rPr>
        <w:t>owever, a laboratory test is just one part of the diagnostic process</w:t>
      </w:r>
      <w:r w:rsidR="009A044C" w:rsidRPr="00D443CB">
        <w:rPr>
          <w:rFonts w:ascii="Gill Sans MT" w:hAnsi="Gill Sans MT" w:cstheme="minorHAnsi"/>
        </w:rPr>
        <w:t>.</w:t>
      </w:r>
      <w:r w:rsidRPr="00D443CB">
        <w:rPr>
          <w:rFonts w:ascii="Gill Sans MT" w:hAnsi="Gill Sans MT" w:cstheme="minorHAnsi"/>
        </w:rPr>
        <w:t xml:space="preserve"> </w:t>
      </w:r>
      <w:r w:rsidR="009A044C" w:rsidRPr="00D443CB">
        <w:rPr>
          <w:rFonts w:ascii="Gill Sans MT" w:hAnsi="Gill Sans MT" w:cstheme="minorHAnsi"/>
        </w:rPr>
        <w:t>T</w:t>
      </w:r>
      <w:r w:rsidRPr="00D443CB">
        <w:rPr>
          <w:rFonts w:ascii="Gill Sans MT" w:hAnsi="Gill Sans MT" w:cstheme="minorHAnsi"/>
        </w:rPr>
        <w:t xml:space="preserve">he diagnostic network must </w:t>
      </w:r>
      <w:r w:rsidR="00EB0010" w:rsidRPr="00D443CB">
        <w:rPr>
          <w:rFonts w:ascii="Gill Sans MT" w:hAnsi="Gill Sans MT" w:cstheme="minorHAnsi"/>
        </w:rPr>
        <w:t>engage</w:t>
      </w:r>
      <w:r w:rsidRPr="00D443CB">
        <w:rPr>
          <w:rFonts w:ascii="Gill Sans MT" w:hAnsi="Gill Sans MT" w:cstheme="minorHAnsi"/>
        </w:rPr>
        <w:t xml:space="preserve"> all health care </w:t>
      </w:r>
      <w:r w:rsidR="009A044C" w:rsidRPr="00D443CB">
        <w:rPr>
          <w:rFonts w:ascii="Gill Sans MT" w:hAnsi="Gill Sans MT" w:cstheme="minorHAnsi"/>
        </w:rPr>
        <w:t xml:space="preserve">facilities and workers </w:t>
      </w:r>
      <w:r w:rsidRPr="00D443CB">
        <w:rPr>
          <w:rFonts w:ascii="Gill Sans MT" w:hAnsi="Gill Sans MT" w:cstheme="minorHAnsi"/>
        </w:rPr>
        <w:t xml:space="preserve">in the diagnostic process and must </w:t>
      </w:r>
      <w:r w:rsidR="002A4E66" w:rsidRPr="00D443CB">
        <w:rPr>
          <w:rFonts w:ascii="Gill Sans MT" w:hAnsi="Gill Sans MT" w:cstheme="minorHAnsi"/>
        </w:rPr>
        <w:t>have</w:t>
      </w:r>
      <w:r w:rsidRPr="00D443CB">
        <w:rPr>
          <w:rFonts w:ascii="Gill Sans MT" w:hAnsi="Gill Sans MT" w:cstheme="minorHAnsi"/>
        </w:rPr>
        <w:t xml:space="preserve"> efficient linkages between </w:t>
      </w:r>
      <w:r w:rsidR="002A4E66" w:rsidRPr="00D443CB">
        <w:rPr>
          <w:rFonts w:ascii="Gill Sans MT" w:hAnsi="Gill Sans MT" w:cstheme="minorHAnsi"/>
        </w:rPr>
        <w:t xml:space="preserve">steps in the diagnostic process. As such, </w:t>
      </w:r>
      <w:r w:rsidR="00DF4443" w:rsidRPr="00D443CB">
        <w:rPr>
          <w:rFonts w:ascii="Gill Sans MT" w:hAnsi="Gill Sans MT"/>
        </w:rPr>
        <w:t>a comprehensive evaluation of a diagnostic network must use an assessment tool, such as the TB Diagnostic Network Assessment Tool described in this manual, that addresses the entire diagnostic network, not just one component such as laboratory testing.</w:t>
      </w:r>
      <w:r w:rsidR="00EB0010" w:rsidRPr="00D443CB">
        <w:rPr>
          <w:rFonts w:ascii="Gill Sans MT" w:hAnsi="Gill Sans MT"/>
        </w:rPr>
        <w:t xml:space="preserve"> A network assessment tool is quite different than the tools used to ass</w:t>
      </w:r>
      <w:r w:rsidR="006404AC" w:rsidRPr="00D443CB">
        <w:rPr>
          <w:rFonts w:ascii="Gill Sans MT" w:hAnsi="Gill Sans MT"/>
        </w:rPr>
        <w:t>ess</w:t>
      </w:r>
      <w:r w:rsidR="00EB0010" w:rsidRPr="00D443CB">
        <w:rPr>
          <w:rFonts w:ascii="Gill Sans MT" w:hAnsi="Gill Sans MT"/>
        </w:rPr>
        <w:t xml:space="preserve"> the </w:t>
      </w:r>
      <w:r w:rsidR="003E7B31" w:rsidRPr="00D443CB">
        <w:rPr>
          <w:rFonts w:ascii="Gill Sans MT" w:hAnsi="Gill Sans MT"/>
        </w:rPr>
        <w:t>q</w:t>
      </w:r>
      <w:r w:rsidR="00EB0010" w:rsidRPr="00D443CB">
        <w:rPr>
          <w:rFonts w:ascii="Gill Sans MT" w:hAnsi="Gill Sans MT"/>
        </w:rPr>
        <w:t xml:space="preserve">uality of individual laboratories such as the </w:t>
      </w:r>
      <w:r w:rsidR="006F6089" w:rsidRPr="00D443CB">
        <w:rPr>
          <w:rFonts w:ascii="Gill Sans MT" w:hAnsi="Gill Sans MT"/>
        </w:rPr>
        <w:t>WHO Laboratory Assessment Tool</w:t>
      </w:r>
      <w:r w:rsidR="006F6089" w:rsidRPr="00D443CB">
        <w:rPr>
          <w:rStyle w:val="FootnoteReference"/>
          <w:rFonts w:ascii="Gill Sans MT" w:hAnsi="Gill Sans MT"/>
        </w:rPr>
        <w:footnoteReference w:id="6"/>
      </w:r>
      <w:r w:rsidR="006F6089" w:rsidRPr="00D443CB">
        <w:rPr>
          <w:rFonts w:ascii="Gill Sans MT" w:hAnsi="Gill Sans MT"/>
        </w:rPr>
        <w:t xml:space="preserve">. </w:t>
      </w:r>
      <w:r w:rsidR="00FC04C1" w:rsidRPr="00D443CB">
        <w:rPr>
          <w:rFonts w:ascii="Gill Sans MT" w:hAnsi="Gill Sans MT"/>
        </w:rPr>
        <w:t>A</w:t>
      </w:r>
      <w:r w:rsidR="006F6089" w:rsidRPr="00D443CB">
        <w:rPr>
          <w:rFonts w:ascii="Gill Sans MT" w:hAnsi="Gill Sans MT"/>
        </w:rPr>
        <w:t xml:space="preserve"> network assessment tool</w:t>
      </w:r>
      <w:r w:rsidR="003E7B31" w:rsidRPr="00D443CB">
        <w:rPr>
          <w:rFonts w:ascii="Gill Sans MT" w:hAnsi="Gill Sans MT"/>
        </w:rPr>
        <w:t xml:space="preserve"> should not be used to assess individual laboratories</w:t>
      </w:r>
      <w:r w:rsidR="00EB0010" w:rsidRPr="00D443CB">
        <w:rPr>
          <w:rFonts w:ascii="Gill Sans MT" w:hAnsi="Gill Sans MT"/>
        </w:rPr>
        <w:t>.</w:t>
      </w:r>
    </w:p>
    <w:p w14:paraId="07740475" w14:textId="77777777" w:rsidR="006F6089" w:rsidRPr="00D443CB" w:rsidRDefault="006F6089" w:rsidP="003F0903">
      <w:pPr>
        <w:spacing w:after="0" w:line="240" w:lineRule="auto"/>
        <w:rPr>
          <w:rFonts w:ascii="Gill Sans MT" w:hAnsi="Gill Sans MT"/>
        </w:rPr>
      </w:pPr>
    </w:p>
    <w:p w14:paraId="11789217" w14:textId="7ADEE390" w:rsidR="002A4E66" w:rsidRPr="00D443CB" w:rsidRDefault="00A05CB9" w:rsidP="008F79FE">
      <w:pPr>
        <w:spacing w:after="0" w:line="240" w:lineRule="auto"/>
        <w:jc w:val="both"/>
        <w:rPr>
          <w:rFonts w:ascii="Gill Sans MT" w:hAnsi="Gill Sans MT"/>
        </w:rPr>
      </w:pPr>
      <w:r w:rsidRPr="00D443CB">
        <w:rPr>
          <w:rFonts w:ascii="Gill Sans MT" w:hAnsi="Gill Sans MT"/>
        </w:rPr>
        <w:t xml:space="preserve">The </w:t>
      </w:r>
      <w:r w:rsidR="00C54E6C" w:rsidRPr="00D443CB">
        <w:rPr>
          <w:rFonts w:ascii="Gill Sans MT" w:hAnsi="Gill Sans MT"/>
        </w:rPr>
        <w:t xml:space="preserve">TB </w:t>
      </w:r>
      <w:r w:rsidRPr="00D443CB">
        <w:rPr>
          <w:rFonts w:ascii="Gill Sans MT" w:hAnsi="Gill Sans MT"/>
        </w:rPr>
        <w:t xml:space="preserve">diagnostic network is a shared responsibility between a TB program and all levels of TB or general laboratories within the network. The network encompasses all points where community members seek care – both within the public and private sectors and among formal and informal providers. </w:t>
      </w:r>
    </w:p>
    <w:p w14:paraId="3F9FE0DB" w14:textId="738216B5" w:rsidR="00911527" w:rsidRPr="00D443CB" w:rsidRDefault="00911527" w:rsidP="008F79FE">
      <w:pPr>
        <w:spacing w:after="0" w:line="240" w:lineRule="auto"/>
        <w:jc w:val="both"/>
        <w:rPr>
          <w:rFonts w:ascii="Gill Sans MT" w:hAnsi="Gill Sans MT"/>
        </w:rPr>
      </w:pPr>
    </w:p>
    <w:p w14:paraId="60AE2632" w14:textId="4BE4E7F5" w:rsidR="00911527" w:rsidRPr="00D443CB" w:rsidRDefault="00911527" w:rsidP="008F79FE">
      <w:pPr>
        <w:spacing w:after="0" w:line="240" w:lineRule="auto"/>
        <w:jc w:val="both"/>
        <w:rPr>
          <w:rFonts w:ascii="Gill Sans MT" w:hAnsi="Gill Sans MT"/>
        </w:rPr>
      </w:pPr>
      <w:r w:rsidRPr="00D443CB">
        <w:rPr>
          <w:rFonts w:ascii="Gill Sans MT" w:hAnsi="Gill Sans MT"/>
        </w:rPr>
        <w:t xml:space="preserve">In addition to the laboratory testing needed to diagnose TB, a variety of laboratory and clinical tests are needed to refine treatment regimens and monitor therapy. For example, all TB patients should receive an HIV test. To monitor potential adverse drug effects, patients may require </w:t>
      </w:r>
      <w:r w:rsidR="00C54E6C" w:rsidRPr="00D443CB">
        <w:rPr>
          <w:rFonts w:ascii="Gill Sans MT" w:hAnsi="Gill Sans MT"/>
        </w:rPr>
        <w:t>baseline and follow-up testing such as hemoglobin and white blood cell</w:t>
      </w:r>
      <w:r w:rsidR="004D2C96" w:rsidRPr="00D443CB">
        <w:rPr>
          <w:rFonts w:ascii="Gill Sans MT" w:hAnsi="Gill Sans MT"/>
        </w:rPr>
        <w:t xml:space="preserve"> counts</w:t>
      </w:r>
      <w:r w:rsidR="00C54E6C" w:rsidRPr="00D443CB">
        <w:rPr>
          <w:rFonts w:ascii="Gill Sans MT" w:hAnsi="Gill Sans MT"/>
        </w:rPr>
        <w:t xml:space="preserve">; </w:t>
      </w:r>
      <w:r w:rsidR="004D2C96" w:rsidRPr="00D443CB">
        <w:rPr>
          <w:rFonts w:ascii="Gill Sans MT" w:hAnsi="Gill Sans MT"/>
        </w:rPr>
        <w:t xml:space="preserve">measurements of </w:t>
      </w:r>
      <w:r w:rsidR="00C54E6C" w:rsidRPr="00D443CB">
        <w:rPr>
          <w:rFonts w:ascii="Gill Sans MT" w:hAnsi="Gill Sans MT"/>
        </w:rPr>
        <w:t xml:space="preserve">serum levels of urea, creatinine, </w:t>
      </w:r>
      <w:r w:rsidR="00361FAF" w:rsidRPr="00D443CB">
        <w:rPr>
          <w:rFonts w:ascii="Gill Sans MT" w:hAnsi="Gill Sans MT"/>
        </w:rPr>
        <w:t>electrolytes,</w:t>
      </w:r>
      <w:r w:rsidR="00C54E6C" w:rsidRPr="00D443CB">
        <w:rPr>
          <w:rFonts w:ascii="Gill Sans MT" w:hAnsi="Gill Sans MT"/>
        </w:rPr>
        <w:t xml:space="preserve"> liver enzymes; </w:t>
      </w:r>
      <w:r w:rsidR="004D2C96" w:rsidRPr="00D443CB">
        <w:rPr>
          <w:rFonts w:ascii="Gill Sans MT" w:hAnsi="Gill Sans MT"/>
        </w:rPr>
        <w:t>hearing and vision tests; and ECGs</w:t>
      </w:r>
      <w:r w:rsidR="006404AC" w:rsidRPr="00D443CB">
        <w:rPr>
          <w:rStyle w:val="FootnoteReference"/>
          <w:rFonts w:ascii="Gill Sans MT" w:hAnsi="Gill Sans MT"/>
        </w:rPr>
        <w:footnoteReference w:id="7"/>
      </w:r>
      <w:r w:rsidR="00C54E6C" w:rsidRPr="00D443CB">
        <w:rPr>
          <w:rFonts w:ascii="Gill Sans MT" w:hAnsi="Gill Sans MT"/>
        </w:rPr>
        <w:t xml:space="preserve">. </w:t>
      </w:r>
      <w:r w:rsidR="004D2C96" w:rsidRPr="00D443CB">
        <w:rPr>
          <w:rFonts w:ascii="Gill Sans MT" w:hAnsi="Gill Sans MT"/>
        </w:rPr>
        <w:t>This</w:t>
      </w:r>
      <w:r w:rsidR="00C54E6C" w:rsidRPr="00D443CB">
        <w:rPr>
          <w:rFonts w:ascii="Gill Sans MT" w:hAnsi="Gill Sans MT"/>
        </w:rPr>
        <w:t xml:space="preserve"> testing is usually conducted in clinical or hospital laboratories</w:t>
      </w:r>
      <w:r w:rsidR="00C54E6C" w:rsidRPr="00D443CB" w:rsidDel="00C54E6C">
        <w:rPr>
          <w:rFonts w:ascii="Gill Sans MT" w:hAnsi="Gill Sans MT"/>
        </w:rPr>
        <w:t xml:space="preserve"> </w:t>
      </w:r>
      <w:r w:rsidR="004D2C96" w:rsidRPr="00D443CB">
        <w:rPr>
          <w:rFonts w:ascii="Gill Sans MT" w:hAnsi="Gill Sans MT"/>
        </w:rPr>
        <w:t xml:space="preserve">and not in </w:t>
      </w:r>
      <w:r w:rsidR="00361FAF" w:rsidRPr="00D443CB">
        <w:rPr>
          <w:rFonts w:ascii="Gill Sans MT" w:hAnsi="Gill Sans MT"/>
        </w:rPr>
        <w:t>a</w:t>
      </w:r>
      <w:r w:rsidR="004D2C96" w:rsidRPr="00D443CB">
        <w:rPr>
          <w:rFonts w:ascii="Gill Sans MT" w:hAnsi="Gill Sans MT"/>
        </w:rPr>
        <w:t xml:space="preserve"> TB diagnostic laboratory. Although it is important that TB</w:t>
      </w:r>
      <w:r w:rsidR="00C54E6C" w:rsidRPr="00D443CB">
        <w:rPr>
          <w:rFonts w:ascii="Gill Sans MT" w:hAnsi="Gill Sans MT"/>
        </w:rPr>
        <w:t xml:space="preserve"> clinicians and programs ensure access to such testing</w:t>
      </w:r>
      <w:r w:rsidR="004D2C96" w:rsidRPr="00D443CB">
        <w:rPr>
          <w:rFonts w:ascii="Gill Sans MT" w:hAnsi="Gill Sans MT"/>
        </w:rPr>
        <w:t xml:space="preserve"> for TB pati</w:t>
      </w:r>
      <w:r w:rsidR="000B0374" w:rsidRPr="00D443CB">
        <w:rPr>
          <w:rFonts w:ascii="Gill Sans MT" w:hAnsi="Gill Sans MT"/>
        </w:rPr>
        <w:t>ents</w:t>
      </w:r>
      <w:r w:rsidR="004D2C96" w:rsidRPr="00D443CB">
        <w:rPr>
          <w:rFonts w:ascii="Gill Sans MT" w:hAnsi="Gill Sans MT"/>
        </w:rPr>
        <w:t>,</w:t>
      </w:r>
      <w:r w:rsidR="000B0374" w:rsidRPr="00D443CB">
        <w:rPr>
          <w:rFonts w:ascii="Gill Sans MT" w:hAnsi="Gill Sans MT"/>
        </w:rPr>
        <w:t xml:space="preserve"> the assessment tool described in this manual focuses on the laboratories that provide services for the diagnosis of TB and does not</w:t>
      </w:r>
      <w:r w:rsidR="004D2C96" w:rsidRPr="00D443CB">
        <w:rPr>
          <w:rFonts w:ascii="Gill Sans MT" w:hAnsi="Gill Sans MT"/>
        </w:rPr>
        <w:t xml:space="preserve"> </w:t>
      </w:r>
      <w:r w:rsidR="000B0374" w:rsidRPr="00D443CB">
        <w:rPr>
          <w:rFonts w:ascii="Gill Sans MT" w:hAnsi="Gill Sans MT"/>
        </w:rPr>
        <w:t>address this ancillary testing or these laboratories.</w:t>
      </w:r>
    </w:p>
    <w:p w14:paraId="54ACFD15" w14:textId="7AC6880A" w:rsidR="009860F7" w:rsidRPr="00D443CB" w:rsidRDefault="009860F7" w:rsidP="008F79FE">
      <w:pPr>
        <w:spacing w:after="0" w:line="240" w:lineRule="auto"/>
        <w:jc w:val="both"/>
        <w:rPr>
          <w:rFonts w:ascii="Gill Sans MT" w:hAnsi="Gill Sans MT"/>
        </w:rPr>
      </w:pPr>
    </w:p>
    <w:p w14:paraId="6EA1D349" w14:textId="06D53D9D" w:rsidR="00A05CB9" w:rsidRPr="00D443CB" w:rsidRDefault="00791091" w:rsidP="00FC763C">
      <w:pPr>
        <w:pStyle w:val="Heading1"/>
        <w:numPr>
          <w:ilvl w:val="0"/>
          <w:numId w:val="3"/>
        </w:numPr>
        <w:spacing w:before="0" w:line="240" w:lineRule="auto"/>
        <w:ind w:left="360"/>
        <w:jc w:val="both"/>
        <w:rPr>
          <w:rFonts w:ascii="Gill Sans MT" w:hAnsi="Gill Sans MT" w:cs="Calibri"/>
          <w:color w:val="000000" w:themeColor="text1"/>
          <w:sz w:val="28"/>
          <w:szCs w:val="24"/>
        </w:rPr>
      </w:pPr>
      <w:bookmarkStart w:id="17" w:name="_Toc37317818"/>
      <w:r w:rsidRPr="00D443CB">
        <w:rPr>
          <w:rFonts w:ascii="Gill Sans MT" w:hAnsi="Gill Sans MT" w:cs="Calibri"/>
          <w:color w:val="000000" w:themeColor="text1"/>
          <w:sz w:val="28"/>
          <w:szCs w:val="24"/>
        </w:rPr>
        <w:t>The TB Diagnostic Network Assessment Tool</w:t>
      </w:r>
      <w:r w:rsidR="00670356" w:rsidRPr="00D443CB">
        <w:rPr>
          <w:rFonts w:ascii="Gill Sans MT" w:hAnsi="Gill Sans MT" w:cs="Calibri"/>
          <w:color w:val="000000" w:themeColor="text1"/>
          <w:sz w:val="28"/>
          <w:szCs w:val="24"/>
        </w:rPr>
        <w:t xml:space="preserve"> (</w:t>
      </w:r>
      <w:r w:rsidR="005805FA" w:rsidRPr="00D443CB">
        <w:rPr>
          <w:rFonts w:ascii="Gill Sans MT" w:hAnsi="Gill Sans MT" w:cs="Calibri"/>
          <w:color w:val="000000" w:themeColor="text1"/>
          <w:sz w:val="28"/>
          <w:szCs w:val="24"/>
        </w:rPr>
        <w:t>TB-Net Tool</w:t>
      </w:r>
      <w:r w:rsidR="00670356" w:rsidRPr="00D443CB">
        <w:rPr>
          <w:rFonts w:ascii="Gill Sans MT" w:hAnsi="Gill Sans MT" w:cs="Calibri"/>
          <w:color w:val="000000" w:themeColor="text1"/>
          <w:sz w:val="28"/>
          <w:szCs w:val="24"/>
        </w:rPr>
        <w:t>)</w:t>
      </w:r>
      <w:bookmarkEnd w:id="17"/>
    </w:p>
    <w:p w14:paraId="7669DB61" w14:textId="1695D17B" w:rsidR="009860F7" w:rsidRPr="00D443CB" w:rsidRDefault="00791091" w:rsidP="008F79FE">
      <w:pPr>
        <w:spacing w:after="0" w:line="240" w:lineRule="auto"/>
        <w:jc w:val="both"/>
        <w:rPr>
          <w:rFonts w:ascii="Gill Sans MT" w:hAnsi="Gill Sans MT" w:cstheme="minorHAnsi"/>
          <w:color w:val="000000" w:themeColor="text1"/>
        </w:rPr>
      </w:pPr>
      <w:r w:rsidRPr="00D443CB">
        <w:rPr>
          <w:rFonts w:ascii="Gill Sans MT" w:hAnsi="Gill Sans MT" w:cstheme="minorHAnsi"/>
          <w:color w:val="000000" w:themeColor="text1"/>
        </w:rPr>
        <w:t xml:space="preserve">The TB Diagnostic Network Assessment Tool (hereafter referred to as the </w:t>
      </w:r>
      <w:r w:rsidR="001D7D80" w:rsidRPr="00D443CB">
        <w:rPr>
          <w:rFonts w:ascii="Gill Sans MT" w:hAnsi="Gill Sans MT" w:cstheme="minorHAnsi"/>
          <w:color w:val="000000" w:themeColor="text1"/>
        </w:rPr>
        <w:t>‘</w:t>
      </w:r>
      <w:r w:rsidR="005805FA" w:rsidRPr="00D443CB">
        <w:rPr>
          <w:rFonts w:ascii="Gill Sans MT" w:hAnsi="Gill Sans MT" w:cstheme="minorHAnsi"/>
          <w:color w:val="000000" w:themeColor="text1"/>
        </w:rPr>
        <w:t>TB-Net Tool</w:t>
      </w:r>
      <w:r w:rsidR="001D7D80" w:rsidRPr="00D443CB">
        <w:rPr>
          <w:rFonts w:ascii="Gill Sans MT" w:hAnsi="Gill Sans MT" w:cstheme="minorHAnsi"/>
          <w:color w:val="000000" w:themeColor="text1"/>
        </w:rPr>
        <w:t>’</w:t>
      </w:r>
      <w:r w:rsidRPr="00D443CB">
        <w:rPr>
          <w:rFonts w:ascii="Gill Sans MT" w:hAnsi="Gill Sans MT" w:cstheme="minorHAnsi"/>
          <w:color w:val="000000" w:themeColor="text1"/>
        </w:rPr>
        <w:t xml:space="preserve">) was developed to assess the functionality of a national TB diagnostic network from the perspective of its ability to meet the needs of the country’s National Strategic Plan (NSP) for TB. The </w:t>
      </w:r>
      <w:r w:rsidR="005805FA" w:rsidRPr="00D443CB">
        <w:rPr>
          <w:rFonts w:ascii="Gill Sans MT" w:hAnsi="Gill Sans MT" w:cstheme="minorHAnsi"/>
          <w:color w:val="000000" w:themeColor="text1"/>
        </w:rPr>
        <w:t>TB-Net Tool</w:t>
      </w:r>
      <w:r w:rsidRPr="00D443CB">
        <w:rPr>
          <w:rFonts w:ascii="Gill Sans MT" w:hAnsi="Gill Sans MT" w:cstheme="minorHAnsi"/>
          <w:color w:val="000000" w:themeColor="text1"/>
        </w:rPr>
        <w:t xml:space="preserve"> is designed to be suitable for use in any country, however, it may be necessary to customize the </w:t>
      </w:r>
      <w:r w:rsidR="005805FA" w:rsidRPr="00D443CB">
        <w:rPr>
          <w:rFonts w:ascii="Gill Sans MT" w:hAnsi="Gill Sans MT" w:cstheme="minorHAnsi"/>
          <w:color w:val="000000" w:themeColor="text1"/>
        </w:rPr>
        <w:t>TB-Net Tool</w:t>
      </w:r>
      <w:r w:rsidRPr="00D443CB">
        <w:rPr>
          <w:rFonts w:ascii="Gill Sans MT" w:hAnsi="Gill Sans MT" w:cstheme="minorHAnsi"/>
          <w:color w:val="000000" w:themeColor="text1"/>
        </w:rPr>
        <w:t xml:space="preserve"> for some countries to meet the local context of a country’s health system.</w:t>
      </w:r>
    </w:p>
    <w:p w14:paraId="29D2879E" w14:textId="77777777" w:rsidR="00791091" w:rsidRPr="00D443CB" w:rsidRDefault="00791091" w:rsidP="008F79FE">
      <w:pPr>
        <w:spacing w:after="0" w:line="240" w:lineRule="auto"/>
        <w:jc w:val="both"/>
        <w:rPr>
          <w:rFonts w:ascii="Gill Sans MT" w:hAnsi="Gill Sans MT" w:cstheme="minorHAnsi"/>
          <w:color w:val="000000" w:themeColor="text1"/>
        </w:rPr>
      </w:pPr>
    </w:p>
    <w:p w14:paraId="3CC4C9C9" w14:textId="77777777" w:rsidR="00937F56" w:rsidRPr="00D443CB" w:rsidRDefault="00937F56" w:rsidP="00C4728E">
      <w:pPr>
        <w:pStyle w:val="Heading2"/>
        <w:rPr>
          <w:rFonts w:ascii="Gill Sans MT" w:hAnsi="Gill Sans MT" w:cstheme="minorHAnsi"/>
          <w:color w:val="000000" w:themeColor="text1"/>
          <w:sz w:val="24"/>
          <w:szCs w:val="24"/>
        </w:rPr>
      </w:pPr>
      <w:bookmarkStart w:id="18" w:name="_Toc37317819"/>
      <w:r w:rsidRPr="00D443CB">
        <w:rPr>
          <w:rFonts w:ascii="Gill Sans MT" w:hAnsi="Gill Sans MT" w:cstheme="minorHAnsi"/>
          <w:color w:val="000000" w:themeColor="text1"/>
          <w:sz w:val="24"/>
          <w:szCs w:val="24"/>
        </w:rPr>
        <w:t>Diagnostic Network Standards, Core Capacities and Components</w:t>
      </w:r>
      <w:bookmarkEnd w:id="18"/>
    </w:p>
    <w:p w14:paraId="19E4B6CE" w14:textId="4DE8831B" w:rsidR="00791091" w:rsidRPr="00D443CB" w:rsidRDefault="00937F56" w:rsidP="008F79FE">
      <w:pPr>
        <w:spacing w:after="0" w:line="240" w:lineRule="auto"/>
        <w:jc w:val="both"/>
        <w:rPr>
          <w:rFonts w:ascii="Gill Sans MT" w:hAnsi="Gill Sans MT"/>
        </w:rPr>
      </w:pPr>
      <w:r w:rsidRPr="00D443CB">
        <w:rPr>
          <w:rFonts w:ascii="Gill Sans MT" w:hAnsi="Gill Sans MT"/>
          <w:color w:val="000000" w:themeColor="text1"/>
        </w:rPr>
        <w:t>The foundation</w:t>
      </w:r>
      <w:r w:rsidR="00C91C7B" w:rsidRPr="00D443CB">
        <w:rPr>
          <w:rFonts w:ascii="Gill Sans MT" w:hAnsi="Gill Sans MT"/>
          <w:color w:val="000000" w:themeColor="text1"/>
        </w:rPr>
        <w:t xml:space="preserve"> of a </w:t>
      </w:r>
      <w:r w:rsidR="00C4728E" w:rsidRPr="00D443CB">
        <w:rPr>
          <w:rFonts w:ascii="Gill Sans MT" w:hAnsi="Gill Sans MT"/>
          <w:color w:val="000000" w:themeColor="text1"/>
        </w:rPr>
        <w:t xml:space="preserve">diagnostic </w:t>
      </w:r>
      <w:r w:rsidR="00C91C7B" w:rsidRPr="00D443CB">
        <w:rPr>
          <w:rFonts w:ascii="Gill Sans MT" w:hAnsi="Gill Sans MT"/>
          <w:color w:val="000000" w:themeColor="text1"/>
        </w:rPr>
        <w:t>network assessment is</w:t>
      </w:r>
      <w:r w:rsidRPr="00D443CB">
        <w:rPr>
          <w:rFonts w:ascii="Gill Sans MT" w:hAnsi="Gill Sans MT"/>
          <w:color w:val="000000" w:themeColor="text1"/>
        </w:rPr>
        <w:t xml:space="preserve"> a set of standards that provide</w:t>
      </w:r>
      <w:r w:rsidR="00376CE7" w:rsidRPr="00D443CB">
        <w:rPr>
          <w:rFonts w:ascii="Gill Sans MT" w:hAnsi="Gill Sans MT"/>
          <w:color w:val="000000" w:themeColor="text1"/>
        </w:rPr>
        <w:t>s</w:t>
      </w:r>
      <w:r w:rsidRPr="00D443CB">
        <w:rPr>
          <w:rFonts w:ascii="Gill Sans MT" w:hAnsi="Gill Sans MT"/>
          <w:color w:val="000000" w:themeColor="text1"/>
        </w:rPr>
        <w:t xml:space="preserve"> a qual</w:t>
      </w:r>
      <w:r w:rsidRPr="00D443CB">
        <w:rPr>
          <w:rFonts w:ascii="Gill Sans MT" w:hAnsi="Gill Sans MT"/>
        </w:rPr>
        <w:t xml:space="preserve">itative measure of quality or attainment of a comprehensive diagnostic network. </w:t>
      </w:r>
      <w:r w:rsidR="00F73E39" w:rsidRPr="00D443CB">
        <w:rPr>
          <w:rFonts w:ascii="Gill Sans MT" w:hAnsi="Gill Sans MT"/>
        </w:rPr>
        <w:t xml:space="preserve">The standards used here </w:t>
      </w:r>
      <w:r w:rsidR="007766BE" w:rsidRPr="00D443CB">
        <w:rPr>
          <w:rFonts w:ascii="Gill Sans MT" w:hAnsi="Gill Sans MT"/>
        </w:rPr>
        <w:t>are based</w:t>
      </w:r>
      <w:r w:rsidR="00F73E39" w:rsidRPr="00D443CB">
        <w:rPr>
          <w:rFonts w:ascii="Gill Sans MT" w:hAnsi="Gill Sans MT"/>
        </w:rPr>
        <w:t xml:space="preserve"> on </w:t>
      </w:r>
      <w:r w:rsidR="00F73E39" w:rsidRPr="00D443CB">
        <w:rPr>
          <w:rFonts w:ascii="Gill Sans MT" w:eastAsia="Calibri" w:hAnsi="Gill Sans MT" w:cstheme="minorHAnsi"/>
          <w:lang w:eastAsia="zh-CN"/>
        </w:rPr>
        <w:t xml:space="preserve">the </w:t>
      </w:r>
      <w:r w:rsidR="00FC04C1" w:rsidRPr="00D443CB">
        <w:rPr>
          <w:rFonts w:ascii="Gill Sans MT" w:eastAsia="Calibri" w:hAnsi="Gill Sans MT" w:cstheme="minorHAnsi"/>
          <w:lang w:eastAsia="zh-CN"/>
        </w:rPr>
        <w:t>n</w:t>
      </w:r>
      <w:r w:rsidR="00F73E39" w:rsidRPr="00D443CB">
        <w:rPr>
          <w:rFonts w:ascii="Gill Sans MT" w:eastAsia="Calibri" w:hAnsi="Gill Sans MT" w:cstheme="minorHAnsi"/>
          <w:lang w:eastAsia="zh-CN"/>
        </w:rPr>
        <w:t>ational TB diagnostic network standards and assessment tools developed and piloted by the Global Laboratory Initiative (GLI) and partners</w:t>
      </w:r>
      <w:r w:rsidR="00F73E39" w:rsidRPr="00D443CB">
        <w:rPr>
          <w:rFonts w:ascii="Gill Sans MT" w:eastAsia="Calibri" w:hAnsi="Gill Sans MT" w:cstheme="minorHAnsi"/>
          <w:vertAlign w:val="superscript"/>
          <w:lang w:eastAsia="zh-CN"/>
        </w:rPr>
        <w:footnoteReference w:id="8"/>
      </w:r>
      <w:r w:rsidR="00F73E39" w:rsidRPr="00D443CB">
        <w:rPr>
          <w:rFonts w:ascii="Gill Sans MT" w:eastAsia="Calibri" w:hAnsi="Gill Sans MT" w:cstheme="minorHAnsi"/>
          <w:lang w:eastAsia="zh-CN"/>
        </w:rPr>
        <w:t xml:space="preserve">, which were based on an earlier GLI assessment tool focusing on TB microscopy laboratory </w:t>
      </w:r>
      <w:r w:rsidR="00F73E39" w:rsidRPr="00D443CB">
        <w:rPr>
          <w:rFonts w:ascii="Gill Sans MT" w:eastAsia="Calibri" w:hAnsi="Gill Sans MT" w:cstheme="minorHAnsi"/>
          <w:lang w:eastAsia="zh-CN"/>
        </w:rPr>
        <w:lastRenderedPageBreak/>
        <w:t>networks</w:t>
      </w:r>
      <w:r w:rsidR="00F73E39" w:rsidRPr="00D443CB">
        <w:rPr>
          <w:rFonts w:ascii="Gill Sans MT" w:eastAsia="Calibri" w:hAnsi="Gill Sans MT" w:cstheme="minorHAnsi"/>
          <w:vertAlign w:val="superscript"/>
          <w:lang w:eastAsia="zh-CN"/>
        </w:rPr>
        <w:footnoteReference w:id="9"/>
      </w:r>
      <w:r w:rsidR="00F73E39" w:rsidRPr="00D443CB">
        <w:rPr>
          <w:rFonts w:ascii="Gill Sans MT" w:eastAsia="Calibri" w:hAnsi="Gill Sans MT" w:cstheme="minorHAnsi"/>
          <w:lang w:eastAsia="zh-CN"/>
        </w:rPr>
        <w:t xml:space="preserve">.  </w:t>
      </w:r>
      <w:r w:rsidR="00720767" w:rsidRPr="00D443CB">
        <w:rPr>
          <w:rFonts w:ascii="Gill Sans MT" w:hAnsi="Gill Sans MT"/>
        </w:rPr>
        <w:t xml:space="preserve">For each standard, </w:t>
      </w:r>
      <w:r w:rsidRPr="00D443CB">
        <w:rPr>
          <w:rFonts w:ascii="Gill Sans MT" w:hAnsi="Gill Sans MT"/>
        </w:rPr>
        <w:t>‘</w:t>
      </w:r>
      <w:r w:rsidR="00720767" w:rsidRPr="00D443CB">
        <w:rPr>
          <w:rFonts w:ascii="Gill Sans MT" w:hAnsi="Gill Sans MT"/>
        </w:rPr>
        <w:t>c</w:t>
      </w:r>
      <w:r w:rsidRPr="00D443CB">
        <w:rPr>
          <w:rFonts w:ascii="Gill Sans MT" w:hAnsi="Gill Sans MT"/>
        </w:rPr>
        <w:t xml:space="preserve">ore capacities’ and ‘components’ </w:t>
      </w:r>
      <w:r w:rsidR="000802F7" w:rsidRPr="00D443CB">
        <w:rPr>
          <w:rFonts w:ascii="Gill Sans MT" w:hAnsi="Gill Sans MT"/>
        </w:rPr>
        <w:t xml:space="preserve">are used to define essential features and functions of </w:t>
      </w:r>
      <w:r w:rsidRPr="00D443CB">
        <w:rPr>
          <w:rFonts w:ascii="Gill Sans MT" w:hAnsi="Gill Sans MT"/>
        </w:rPr>
        <w:t xml:space="preserve">a national diagnostic network </w:t>
      </w:r>
      <w:r w:rsidR="000802F7" w:rsidRPr="00D443CB">
        <w:rPr>
          <w:rFonts w:ascii="Gill Sans MT" w:hAnsi="Gill Sans MT"/>
        </w:rPr>
        <w:t xml:space="preserve">designed </w:t>
      </w:r>
      <w:r w:rsidRPr="00D443CB">
        <w:rPr>
          <w:rFonts w:ascii="Gill Sans MT" w:hAnsi="Gill Sans MT"/>
        </w:rPr>
        <w:t xml:space="preserve">to detect, assess, notify and respond to TB. </w:t>
      </w:r>
    </w:p>
    <w:p w14:paraId="6AC61C04" w14:textId="77777777" w:rsidR="00791091" w:rsidRPr="00D443CB" w:rsidRDefault="00791091" w:rsidP="008F79FE">
      <w:pPr>
        <w:spacing w:after="0" w:line="240" w:lineRule="auto"/>
        <w:jc w:val="both"/>
        <w:rPr>
          <w:rFonts w:ascii="Gill Sans MT" w:hAnsi="Gill Sans MT"/>
        </w:rPr>
      </w:pPr>
    </w:p>
    <w:p w14:paraId="508C3213" w14:textId="24DB694E" w:rsidR="00937F56" w:rsidRPr="00D443CB" w:rsidRDefault="00F73E39" w:rsidP="008F79FE">
      <w:pPr>
        <w:spacing w:after="0" w:line="240" w:lineRule="auto"/>
        <w:jc w:val="both"/>
        <w:rPr>
          <w:rFonts w:ascii="Gill Sans MT" w:hAnsi="Gill Sans MT"/>
        </w:rPr>
      </w:pPr>
      <w:r w:rsidRPr="00D443CB">
        <w:rPr>
          <w:rFonts w:ascii="Gill Sans MT" w:hAnsi="Gill Sans MT"/>
        </w:rPr>
        <w:t xml:space="preserve">The core capacities and components </w:t>
      </w:r>
      <w:r w:rsidR="007766BE" w:rsidRPr="00D443CB">
        <w:rPr>
          <w:rFonts w:ascii="Gill Sans MT" w:hAnsi="Gill Sans MT"/>
        </w:rPr>
        <w:t xml:space="preserve">were adapted from </w:t>
      </w:r>
      <w:r w:rsidRPr="00D443CB">
        <w:rPr>
          <w:rFonts w:ascii="Gill Sans MT" w:hAnsi="Gill Sans MT"/>
        </w:rPr>
        <w:t xml:space="preserve">the </w:t>
      </w:r>
      <w:r w:rsidR="007766BE" w:rsidRPr="00D443CB">
        <w:rPr>
          <w:rFonts w:ascii="Gill Sans MT" w:hAnsi="Gill Sans MT"/>
        </w:rPr>
        <w:t>original nine LABNET</w:t>
      </w:r>
      <w:r w:rsidR="007766BE" w:rsidRPr="00D443CB">
        <w:rPr>
          <w:rFonts w:ascii="Gill Sans MT" w:eastAsia="Calibri" w:hAnsi="Gill Sans MT" w:cstheme="minorHAnsi"/>
          <w:vertAlign w:val="superscript"/>
          <w:lang w:eastAsia="zh-CN"/>
        </w:rPr>
        <w:footnoteReference w:id="10"/>
      </w:r>
      <w:r w:rsidR="007766BE" w:rsidRPr="00D443CB">
        <w:rPr>
          <w:rFonts w:ascii="Gill Sans MT" w:hAnsi="Gill Sans MT"/>
        </w:rPr>
        <w:t xml:space="preserve"> core capacities which were developed for evaluating national laboratory networks in Africa with respect to achieving global health security. </w:t>
      </w:r>
      <w:r w:rsidR="00937F56" w:rsidRPr="00D443CB">
        <w:rPr>
          <w:rFonts w:ascii="Gill Sans MT" w:hAnsi="Gill Sans MT"/>
        </w:rPr>
        <w:t xml:space="preserve">The </w:t>
      </w:r>
      <w:r w:rsidR="00720767" w:rsidRPr="00D443CB">
        <w:rPr>
          <w:rFonts w:ascii="Gill Sans MT" w:hAnsi="Gill Sans MT"/>
        </w:rPr>
        <w:t xml:space="preserve">standards, </w:t>
      </w:r>
      <w:r w:rsidR="00937F56" w:rsidRPr="00D443CB">
        <w:rPr>
          <w:rFonts w:ascii="Gill Sans MT" w:hAnsi="Gill Sans MT"/>
        </w:rPr>
        <w:t>core capacities</w:t>
      </w:r>
      <w:r w:rsidR="00720767" w:rsidRPr="00D443CB">
        <w:rPr>
          <w:rFonts w:ascii="Gill Sans MT" w:hAnsi="Gill Sans MT"/>
        </w:rPr>
        <w:t xml:space="preserve"> and components</w:t>
      </w:r>
      <w:r w:rsidR="00937F56" w:rsidRPr="00D443CB">
        <w:rPr>
          <w:rFonts w:ascii="Gill Sans MT" w:hAnsi="Gill Sans MT"/>
        </w:rPr>
        <w:t xml:space="preserve"> used in the assessment of the TB diagnostic network</w:t>
      </w:r>
      <w:r w:rsidR="00720767" w:rsidRPr="00D443CB">
        <w:rPr>
          <w:rFonts w:ascii="Gill Sans MT" w:hAnsi="Gill Sans MT"/>
        </w:rPr>
        <w:t xml:space="preserve"> are shown in </w:t>
      </w:r>
      <w:r w:rsidR="00937F56" w:rsidRPr="00D443CB">
        <w:rPr>
          <w:rFonts w:ascii="Gill Sans MT" w:hAnsi="Gill Sans MT"/>
        </w:rPr>
        <w:t>Table 1.</w:t>
      </w:r>
      <w:r w:rsidR="00791091" w:rsidRPr="00D443CB">
        <w:rPr>
          <w:rFonts w:ascii="Gill Sans MT" w:hAnsi="Gill Sans MT"/>
        </w:rPr>
        <w:t xml:space="preserve"> </w:t>
      </w:r>
    </w:p>
    <w:p w14:paraId="2D69F22C" w14:textId="77777777" w:rsidR="00937F56" w:rsidRPr="00D443CB" w:rsidRDefault="00937F56" w:rsidP="00937F56">
      <w:pPr>
        <w:spacing w:after="0" w:line="240" w:lineRule="auto"/>
        <w:rPr>
          <w:rFonts w:ascii="Gill Sans MT" w:hAnsi="Gill Sans MT"/>
        </w:rPr>
      </w:pPr>
    </w:p>
    <w:p w14:paraId="547C51B5" w14:textId="77777777" w:rsidR="00937F56" w:rsidRPr="00D443CB" w:rsidRDefault="00937F56" w:rsidP="00937F56">
      <w:pPr>
        <w:spacing w:after="0" w:line="240" w:lineRule="auto"/>
        <w:rPr>
          <w:rFonts w:ascii="Gill Sans MT" w:hAnsi="Gill Sans MT" w:cs="Calibri"/>
        </w:rPr>
      </w:pPr>
      <w:r w:rsidRPr="00D443CB">
        <w:rPr>
          <w:rFonts w:ascii="Gill Sans MT" w:hAnsi="Gill Sans MT" w:cs="Calibri"/>
          <w:b/>
        </w:rPr>
        <w:t>Table 1.</w:t>
      </w:r>
      <w:r w:rsidRPr="00D443CB">
        <w:rPr>
          <w:rFonts w:ascii="Gill Sans MT" w:hAnsi="Gill Sans MT" w:cs="Calibri"/>
        </w:rPr>
        <w:t xml:space="preserve"> Diagnostic Network Standards, Core Capacities and Components</w:t>
      </w:r>
    </w:p>
    <w:p w14:paraId="405770C9" w14:textId="77777777" w:rsidR="00937F56" w:rsidRPr="00D443CB" w:rsidRDefault="00937F56" w:rsidP="00937F56">
      <w:pPr>
        <w:spacing w:after="0" w:line="240" w:lineRule="auto"/>
        <w:rPr>
          <w:rFonts w:ascii="Gill Sans MT" w:hAnsi="Gill Sans MT"/>
        </w:rPr>
      </w:pPr>
    </w:p>
    <w:tbl>
      <w:tblPr>
        <w:tblStyle w:val="LightShading-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49"/>
        <w:gridCol w:w="4861"/>
        <w:gridCol w:w="1982"/>
        <w:gridCol w:w="2788"/>
      </w:tblGrid>
      <w:tr w:rsidR="009B3F7A" w:rsidRPr="00D443CB" w14:paraId="558A64C2" w14:textId="77777777" w:rsidTr="008F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Pr>
          <w:p w14:paraId="758E954D" w14:textId="77777777" w:rsidR="00937F56" w:rsidRPr="00D443CB" w:rsidRDefault="00937F56" w:rsidP="00C21DF2">
            <w:pPr>
              <w:widowControl w:val="0"/>
              <w:autoSpaceDE w:val="0"/>
              <w:autoSpaceDN w:val="0"/>
              <w:adjustRightInd w:val="0"/>
              <w:spacing w:after="6" w:line="240" w:lineRule="auto"/>
              <w:rPr>
                <w:rFonts w:ascii="Gill Sans MT" w:hAnsi="Gill Sans MT"/>
                <w:b w:val="0"/>
                <w:bCs w:val="0"/>
                <w:color w:val="000000"/>
                <w:sz w:val="20"/>
                <w:szCs w:val="20"/>
              </w:rPr>
            </w:pPr>
          </w:p>
        </w:tc>
        <w:tc>
          <w:tcPr>
            <w:tcW w:w="2411" w:type="pct"/>
          </w:tcPr>
          <w:p w14:paraId="7A029358" w14:textId="77777777" w:rsidR="00937F56" w:rsidRPr="00D443CB" w:rsidRDefault="00937F56" w:rsidP="008F79FE">
            <w:pPr>
              <w:widowControl w:val="0"/>
              <w:autoSpaceDE w:val="0"/>
              <w:autoSpaceDN w:val="0"/>
              <w:adjustRightInd w:val="0"/>
              <w:spacing w:after="6" w:line="240" w:lineRule="auto"/>
              <w:cnfStyle w:val="100000000000" w:firstRow="1" w:lastRow="0" w:firstColumn="0" w:lastColumn="0" w:oddVBand="0" w:evenVBand="0" w:oddHBand="0" w:evenHBand="0" w:firstRowFirstColumn="0" w:firstRowLastColumn="0" w:lastRowFirstColumn="0" w:lastRowLastColumn="0"/>
              <w:rPr>
                <w:rFonts w:ascii="Gill Sans MT" w:hAnsi="Gill Sans MT" w:cstheme="minorHAnsi"/>
                <w:bCs w:val="0"/>
                <w:color w:val="auto"/>
                <w:sz w:val="20"/>
                <w:szCs w:val="20"/>
              </w:rPr>
            </w:pPr>
            <w:r w:rsidRPr="00D443CB">
              <w:rPr>
                <w:rFonts w:ascii="Gill Sans MT" w:hAnsi="Gill Sans MT" w:cstheme="minorHAnsi"/>
                <w:sz w:val="20"/>
                <w:szCs w:val="20"/>
              </w:rPr>
              <w:t>Standard</w:t>
            </w:r>
          </w:p>
        </w:tc>
        <w:tc>
          <w:tcPr>
            <w:tcW w:w="983" w:type="pct"/>
          </w:tcPr>
          <w:p w14:paraId="4FDB9838" w14:textId="77777777" w:rsidR="00937F56" w:rsidRPr="00D443CB" w:rsidDel="001C1BF8" w:rsidRDefault="00937F56" w:rsidP="008F79FE">
            <w:pPr>
              <w:widowControl w:val="0"/>
              <w:autoSpaceDE w:val="0"/>
              <w:autoSpaceDN w:val="0"/>
              <w:adjustRightInd w:val="0"/>
              <w:spacing w:after="6" w:line="240" w:lineRule="auto"/>
              <w:cnfStyle w:val="100000000000" w:firstRow="1" w:lastRow="0" w:firstColumn="0" w:lastColumn="0" w:oddVBand="0" w:evenVBand="0" w:oddHBand="0" w:evenHBand="0" w:firstRowFirstColumn="0" w:firstRowLastColumn="0" w:lastRowFirstColumn="0" w:lastRowLastColumn="0"/>
              <w:rPr>
                <w:rFonts w:ascii="Gill Sans MT" w:hAnsi="Gill Sans MT" w:cstheme="minorHAnsi"/>
                <w:bCs w:val="0"/>
                <w:color w:val="auto"/>
                <w:sz w:val="20"/>
                <w:szCs w:val="20"/>
              </w:rPr>
            </w:pPr>
            <w:r w:rsidRPr="00D443CB">
              <w:rPr>
                <w:rFonts w:ascii="Gill Sans MT" w:hAnsi="Gill Sans MT" w:cstheme="minorHAnsi"/>
                <w:sz w:val="20"/>
                <w:szCs w:val="20"/>
              </w:rPr>
              <w:t>Core Capacity</w:t>
            </w:r>
          </w:p>
        </w:tc>
        <w:tc>
          <w:tcPr>
            <w:tcW w:w="1383" w:type="pct"/>
          </w:tcPr>
          <w:p w14:paraId="366B82EC" w14:textId="77777777" w:rsidR="00937F56" w:rsidRPr="00D443CB" w:rsidRDefault="00937F56" w:rsidP="008F79FE">
            <w:pPr>
              <w:widowControl w:val="0"/>
              <w:autoSpaceDE w:val="0"/>
              <w:autoSpaceDN w:val="0"/>
              <w:adjustRightInd w:val="0"/>
              <w:spacing w:after="6" w:line="240" w:lineRule="auto"/>
              <w:cnfStyle w:val="100000000000" w:firstRow="1" w:lastRow="0" w:firstColumn="0" w:lastColumn="0" w:oddVBand="0" w:evenVBand="0" w:oddHBand="0" w:evenHBand="0" w:firstRowFirstColumn="0" w:firstRowLastColumn="0" w:lastRowFirstColumn="0" w:lastRowLastColumn="0"/>
              <w:rPr>
                <w:rFonts w:ascii="Gill Sans MT" w:hAnsi="Gill Sans MT" w:cstheme="minorHAnsi"/>
                <w:color w:val="auto"/>
                <w:sz w:val="20"/>
                <w:szCs w:val="20"/>
              </w:rPr>
            </w:pPr>
            <w:r w:rsidRPr="00D443CB">
              <w:rPr>
                <w:rFonts w:ascii="Gill Sans MT" w:hAnsi="Gill Sans MT" w:cstheme="minorHAnsi"/>
                <w:sz w:val="20"/>
                <w:szCs w:val="20"/>
              </w:rPr>
              <w:t>Components</w:t>
            </w:r>
          </w:p>
        </w:tc>
      </w:tr>
      <w:tr w:rsidR="009B3F7A" w:rsidRPr="00D443CB" w14:paraId="0EB586D0"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39485C31" w14:textId="77777777" w:rsidR="00937F56" w:rsidRPr="00D443CB" w:rsidRDefault="00937F56" w:rsidP="00F14FB9">
            <w:pPr>
              <w:widowControl w:val="0"/>
              <w:autoSpaceDE w:val="0"/>
              <w:autoSpaceDN w:val="0"/>
              <w:adjustRightInd w:val="0"/>
              <w:spacing w:after="0" w:line="240" w:lineRule="auto"/>
              <w:rPr>
                <w:rFonts w:ascii="Gill Sans MT" w:hAnsi="Gill Sans MT" w:cstheme="minorHAnsi"/>
                <w:color w:val="000000"/>
                <w:sz w:val="20"/>
                <w:szCs w:val="20"/>
              </w:rPr>
            </w:pPr>
            <w:r w:rsidRPr="00D443CB">
              <w:rPr>
                <w:rFonts w:ascii="Gill Sans MT" w:hAnsi="Gill Sans MT" w:cstheme="minorHAnsi"/>
                <w:color w:val="000000"/>
                <w:sz w:val="20"/>
                <w:szCs w:val="20"/>
              </w:rPr>
              <w:t>1</w:t>
            </w:r>
          </w:p>
        </w:tc>
        <w:tc>
          <w:tcPr>
            <w:tcW w:w="2411" w:type="pct"/>
            <w:vAlign w:val="center"/>
          </w:tcPr>
          <w:p w14:paraId="280584FD" w14:textId="77777777" w:rsidR="00937F56" w:rsidRPr="00D443CB" w:rsidRDefault="00937F56" w:rsidP="008F79FE">
            <w:pPr>
              <w:widowControl w:val="0"/>
              <w:tabs>
                <w:tab w:val="left" w:pos="719"/>
              </w:tabs>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The country has a fully endorsed political, legal and regulatory framework in place which supports the achievement of the NSP and that organizes and controls all public and private diagnostic services to support the NSP, with sufficient dedicated funding available. Policies are in place that enable continuous, country-wide availability of free, quality assured diagnosis according to the national guidelines.</w:t>
            </w:r>
          </w:p>
        </w:tc>
        <w:tc>
          <w:tcPr>
            <w:tcW w:w="983" w:type="pct"/>
          </w:tcPr>
          <w:p w14:paraId="76CBB8CC" w14:textId="77777777" w:rsidR="00937F56" w:rsidRPr="00D443CB" w:rsidDel="001C1BF8" w:rsidRDefault="00937F56" w:rsidP="00F14FB9">
            <w:pPr>
              <w:widowControl w:val="0"/>
              <w:tabs>
                <w:tab w:val="left" w:pos="719"/>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bCs/>
                <w:color w:val="000000"/>
                <w:sz w:val="20"/>
                <w:szCs w:val="20"/>
              </w:rPr>
              <w:t>Political,</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legal</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regulatory</w:t>
            </w:r>
            <w:r w:rsidRPr="00D443CB">
              <w:rPr>
                <w:rFonts w:ascii="Gill Sans MT" w:hAnsi="Gill Sans MT" w:cstheme="minorHAnsi"/>
                <w:color w:val="000000"/>
                <w:sz w:val="20"/>
                <w:szCs w:val="20"/>
              </w:rPr>
              <w:t xml:space="preserve"> and financial </w:t>
            </w:r>
            <w:r w:rsidRPr="00D443CB">
              <w:rPr>
                <w:rFonts w:ascii="Gill Sans MT" w:hAnsi="Gill Sans MT" w:cstheme="minorHAnsi"/>
                <w:bCs/>
                <w:color w:val="000000"/>
                <w:sz w:val="20"/>
                <w:szCs w:val="20"/>
              </w:rPr>
              <w:t>framework</w:t>
            </w:r>
            <w:r w:rsidRPr="00D443CB">
              <w:rPr>
                <w:rFonts w:ascii="Gill Sans MT" w:hAnsi="Gill Sans MT" w:cstheme="minorHAnsi"/>
                <w:color w:val="000000"/>
                <w:sz w:val="20"/>
                <w:szCs w:val="20"/>
              </w:rPr>
              <w:t xml:space="preserve"> </w:t>
            </w:r>
          </w:p>
        </w:tc>
        <w:tc>
          <w:tcPr>
            <w:tcW w:w="1383" w:type="pct"/>
          </w:tcPr>
          <w:p w14:paraId="007D509E" w14:textId="33232851" w:rsidR="00937F56" w:rsidRPr="00D443CB" w:rsidRDefault="00937F56" w:rsidP="00FC763C">
            <w:pPr>
              <w:widowControl w:val="0"/>
              <w:numPr>
                <w:ilvl w:val="0"/>
                <w:numId w:val="7"/>
              </w:numPr>
              <w:tabs>
                <w:tab w:val="left" w:pos="216"/>
                <w:tab w:val="left" w:pos="360"/>
                <w:tab w:val="left" w:pos="719"/>
              </w:tabs>
              <w:autoSpaceDE w:val="0"/>
              <w:autoSpaceDN w:val="0"/>
              <w:adjustRightInd w:val="0"/>
              <w:spacing w:after="0" w:line="240" w:lineRule="auto"/>
              <w:ind w:hanging="1080"/>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Legislation </w:t>
            </w:r>
            <w:r w:rsidR="00EF597B" w:rsidRPr="00D443CB">
              <w:rPr>
                <w:rFonts w:ascii="Gill Sans MT" w:hAnsi="Gill Sans MT" w:cstheme="minorHAnsi"/>
                <w:color w:val="000000"/>
                <w:sz w:val="20"/>
                <w:szCs w:val="20"/>
              </w:rPr>
              <w:t>and policies</w:t>
            </w:r>
          </w:p>
          <w:p w14:paraId="628A5D17" w14:textId="77777777" w:rsidR="00937F56" w:rsidRPr="00D443CB" w:rsidRDefault="00937F56" w:rsidP="00FC763C">
            <w:pPr>
              <w:widowControl w:val="0"/>
              <w:numPr>
                <w:ilvl w:val="0"/>
                <w:numId w:val="7"/>
              </w:numPr>
              <w:tabs>
                <w:tab w:val="left" w:pos="216"/>
                <w:tab w:val="left" w:pos="266"/>
                <w:tab w:val="left" w:pos="719"/>
              </w:tabs>
              <w:autoSpaceDE w:val="0"/>
              <w:autoSpaceDN w:val="0"/>
              <w:adjustRightInd w:val="0"/>
              <w:spacing w:after="0" w:line="240" w:lineRule="auto"/>
              <w:ind w:left="266" w:hanging="266"/>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National policies and plans</w:t>
            </w:r>
          </w:p>
          <w:p w14:paraId="71223530" w14:textId="77777777" w:rsidR="00937F56" w:rsidRPr="00D443CB" w:rsidRDefault="00937F56" w:rsidP="00FC763C">
            <w:pPr>
              <w:widowControl w:val="0"/>
              <w:numPr>
                <w:ilvl w:val="0"/>
                <w:numId w:val="7"/>
              </w:numPr>
              <w:tabs>
                <w:tab w:val="left" w:pos="216"/>
                <w:tab w:val="left" w:pos="360"/>
                <w:tab w:val="left" w:pos="719"/>
              </w:tabs>
              <w:autoSpaceDE w:val="0"/>
              <w:autoSpaceDN w:val="0"/>
              <w:adjustRightInd w:val="0"/>
              <w:spacing w:after="0" w:line="240" w:lineRule="auto"/>
              <w:ind w:hanging="1080"/>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Governance </w:t>
            </w:r>
          </w:p>
          <w:p w14:paraId="485F6514" w14:textId="3D056AF0" w:rsidR="00937F56" w:rsidRPr="00D443CB" w:rsidRDefault="00937F56" w:rsidP="00FC763C">
            <w:pPr>
              <w:widowControl w:val="0"/>
              <w:numPr>
                <w:ilvl w:val="0"/>
                <w:numId w:val="7"/>
              </w:numPr>
              <w:tabs>
                <w:tab w:val="left" w:pos="216"/>
                <w:tab w:val="left" w:pos="360"/>
                <w:tab w:val="left" w:pos="719"/>
              </w:tabs>
              <w:autoSpaceDE w:val="0"/>
              <w:autoSpaceDN w:val="0"/>
              <w:adjustRightInd w:val="0"/>
              <w:spacing w:after="0" w:line="240" w:lineRule="auto"/>
              <w:ind w:hanging="1080"/>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Financing</w:t>
            </w:r>
            <w:r w:rsidR="00EF597B" w:rsidRPr="00D443CB">
              <w:rPr>
                <w:rFonts w:ascii="Gill Sans MT" w:hAnsi="Gill Sans MT" w:cstheme="minorHAnsi"/>
                <w:color w:val="000000"/>
                <w:sz w:val="20"/>
                <w:szCs w:val="20"/>
              </w:rPr>
              <w:t xml:space="preserve"> and budgeting</w:t>
            </w:r>
          </w:p>
        </w:tc>
      </w:tr>
      <w:tr w:rsidR="009B3F7A" w:rsidRPr="00D443CB" w14:paraId="7C8787E4"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6501852B" w14:textId="77777777" w:rsidR="00937F56" w:rsidRPr="00D443CB" w:rsidDel="00AB379B" w:rsidRDefault="00937F56" w:rsidP="00F14FB9">
            <w:pPr>
              <w:widowControl w:val="0"/>
              <w:autoSpaceDE w:val="0"/>
              <w:autoSpaceDN w:val="0"/>
              <w:adjustRightInd w:val="0"/>
              <w:spacing w:after="0" w:line="240" w:lineRule="auto"/>
              <w:ind w:left="360" w:hanging="360"/>
              <w:rPr>
                <w:rFonts w:ascii="Gill Sans MT" w:hAnsi="Gill Sans MT" w:cstheme="minorHAnsi"/>
                <w:bCs w:val="0"/>
                <w:color w:val="000000"/>
                <w:sz w:val="20"/>
                <w:szCs w:val="20"/>
              </w:rPr>
            </w:pPr>
            <w:r w:rsidRPr="00D443CB">
              <w:rPr>
                <w:rFonts w:ascii="Gill Sans MT" w:hAnsi="Gill Sans MT" w:cstheme="minorHAnsi"/>
                <w:color w:val="000000"/>
                <w:sz w:val="20"/>
                <w:szCs w:val="20"/>
              </w:rPr>
              <w:t>2</w:t>
            </w:r>
          </w:p>
        </w:tc>
        <w:tc>
          <w:tcPr>
            <w:tcW w:w="2411" w:type="pct"/>
            <w:vAlign w:val="center"/>
          </w:tcPr>
          <w:p w14:paraId="065EB7E3" w14:textId="5EF833CD" w:rsidR="00937F56" w:rsidRPr="00D443CB" w:rsidRDefault="00937F56" w:rsidP="008F79FE">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bCs/>
                <w:color w:val="000000"/>
                <w:sz w:val="20"/>
                <w:szCs w:val="20"/>
              </w:rPr>
              <w:t xml:space="preserve">A </w:t>
            </w:r>
            <w:r w:rsidRPr="00D443CB">
              <w:rPr>
                <w:rFonts w:ascii="Gill Sans MT" w:hAnsi="Gill Sans MT" w:cstheme="minorHAnsi"/>
                <w:color w:val="000000"/>
                <w:sz w:val="20"/>
                <w:szCs w:val="20"/>
              </w:rPr>
              <w:t>sustainable, rational and efficient TB diagnostic network provides integrated, essential, quality diagnostic services for patient care and public health. The TB diagnostic network is coordinated by a national reference or public health laboratory and includes the public and private sector as well as community level diagnostic services. All facilities have clearly defined terms of reference and are adequately supervised.</w:t>
            </w:r>
          </w:p>
        </w:tc>
        <w:tc>
          <w:tcPr>
            <w:tcW w:w="983" w:type="pct"/>
          </w:tcPr>
          <w:p w14:paraId="7AC13D34" w14:textId="77777777" w:rsidR="00937F56" w:rsidRPr="00D443CB" w:rsidDel="001C1BF8" w:rsidRDefault="00937F56" w:rsidP="00F14FB9">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Structure</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and</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organization</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of</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the</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diagnostic network</w:t>
            </w:r>
          </w:p>
        </w:tc>
        <w:tc>
          <w:tcPr>
            <w:tcW w:w="1383" w:type="pct"/>
          </w:tcPr>
          <w:p w14:paraId="6255E781" w14:textId="0BE30678" w:rsidR="00937F56" w:rsidRPr="00D443CB" w:rsidRDefault="0057566A" w:rsidP="00FC763C">
            <w:pPr>
              <w:widowControl w:val="0"/>
              <w:numPr>
                <w:ilvl w:val="0"/>
                <w:numId w:val="8"/>
              </w:numPr>
              <w:tabs>
                <w:tab w:val="left" w:pos="216"/>
                <w:tab w:val="left" w:pos="360"/>
                <w:tab w:val="left" w:pos="719"/>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Diagnostic Network</w:t>
            </w:r>
          </w:p>
          <w:p w14:paraId="149F2432" w14:textId="77777777" w:rsidR="00937F56" w:rsidRPr="00D443CB" w:rsidRDefault="00937F56" w:rsidP="00FC763C">
            <w:pPr>
              <w:widowControl w:val="0"/>
              <w:numPr>
                <w:ilvl w:val="0"/>
                <w:numId w:val="8"/>
              </w:numPr>
              <w:tabs>
                <w:tab w:val="left" w:pos="216"/>
                <w:tab w:val="left" w:pos="360"/>
                <w:tab w:val="left" w:pos="719"/>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Coordination and management</w:t>
            </w:r>
          </w:p>
          <w:p w14:paraId="383C4DF5" w14:textId="77777777" w:rsidR="00937F56" w:rsidRPr="00D443CB" w:rsidRDefault="00937F56" w:rsidP="00FC763C">
            <w:pPr>
              <w:widowControl w:val="0"/>
              <w:numPr>
                <w:ilvl w:val="0"/>
                <w:numId w:val="8"/>
              </w:numPr>
              <w:tabs>
                <w:tab w:val="left" w:pos="216"/>
                <w:tab w:val="left" w:pos="360"/>
                <w:tab w:val="left" w:pos="719"/>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Programmatic and operational research</w:t>
            </w:r>
          </w:p>
        </w:tc>
      </w:tr>
      <w:tr w:rsidR="009B3F7A" w:rsidRPr="00D443CB" w14:paraId="7EA5A16D"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76753880" w14:textId="77777777" w:rsidR="00937F56" w:rsidRPr="00D443CB" w:rsidRDefault="00937F56" w:rsidP="00F14FB9">
            <w:pPr>
              <w:widowControl w:val="0"/>
              <w:tabs>
                <w:tab w:val="left" w:pos="719"/>
              </w:tabs>
              <w:autoSpaceDE w:val="0"/>
              <w:autoSpaceDN w:val="0"/>
              <w:adjustRightInd w:val="0"/>
              <w:spacing w:after="0" w:line="240" w:lineRule="auto"/>
              <w:ind w:left="360" w:hanging="360"/>
              <w:rPr>
                <w:rFonts w:ascii="Gill Sans MT" w:hAnsi="Gill Sans MT" w:cstheme="minorHAnsi"/>
                <w:bCs w:val="0"/>
                <w:color w:val="000000"/>
                <w:sz w:val="20"/>
                <w:szCs w:val="20"/>
              </w:rPr>
            </w:pPr>
            <w:r w:rsidRPr="00D443CB">
              <w:rPr>
                <w:rFonts w:ascii="Gill Sans MT" w:hAnsi="Gill Sans MT" w:cstheme="minorHAnsi"/>
                <w:color w:val="000000"/>
                <w:sz w:val="20"/>
                <w:szCs w:val="20"/>
              </w:rPr>
              <w:t>3</w:t>
            </w:r>
          </w:p>
        </w:tc>
        <w:tc>
          <w:tcPr>
            <w:tcW w:w="2411" w:type="pct"/>
            <w:vAlign w:val="center"/>
          </w:tcPr>
          <w:p w14:paraId="0A057E50" w14:textId="77777777" w:rsidR="00937F56" w:rsidRPr="00D443CB" w:rsidRDefault="00937F56" w:rsidP="008F79FE">
            <w:pPr>
              <w:widowControl w:val="0"/>
              <w:tabs>
                <w:tab w:val="left" w:pos="719"/>
              </w:tabs>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The national TB diagnostic network provides complete coverage and universal access to TB diagnostic services to the entire population of the country. Referral mechanisms exist to rapidly and safely refer specimens to the appropriate level for testing and to provide timely results to enable initiation of appropriate treatment. An efficient diagnostic-clinical interface allows for appropriate diagnostic tests to be ordered and performed and ensures the timely linkage of diagnosed patients to appropriate care and treatment.</w:t>
            </w:r>
          </w:p>
        </w:tc>
        <w:tc>
          <w:tcPr>
            <w:tcW w:w="983" w:type="pct"/>
          </w:tcPr>
          <w:p w14:paraId="0FCB87A0" w14:textId="77777777" w:rsidR="00937F56" w:rsidRPr="00D443CB" w:rsidDel="001C1BF8" w:rsidRDefault="00937F56" w:rsidP="00F14FB9">
            <w:pPr>
              <w:widowControl w:val="0"/>
              <w:tabs>
                <w:tab w:val="left" w:pos="719"/>
              </w:tabs>
              <w:autoSpaceDE w:val="0"/>
              <w:autoSpaceDN w:val="0"/>
              <w:adjustRightInd w:val="0"/>
              <w:spacing w:after="0" w:line="240" w:lineRule="auto"/>
              <w:ind w:left="360" w:hanging="360"/>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Coverage</w:t>
            </w:r>
          </w:p>
        </w:tc>
        <w:tc>
          <w:tcPr>
            <w:tcW w:w="1383" w:type="pct"/>
          </w:tcPr>
          <w:p w14:paraId="0E1EC052" w14:textId="77777777" w:rsidR="00937F56" w:rsidRPr="00D443CB" w:rsidRDefault="00937F56" w:rsidP="00FC763C">
            <w:pPr>
              <w:widowControl w:val="0"/>
              <w:numPr>
                <w:ilvl w:val="0"/>
                <w:numId w:val="9"/>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heme="minorHAnsi"/>
                <w:bCs/>
                <w:color w:val="000000"/>
                <w:sz w:val="20"/>
                <w:szCs w:val="20"/>
              </w:rPr>
            </w:pPr>
            <w:r w:rsidRPr="00D443CB">
              <w:rPr>
                <w:rFonts w:ascii="Gill Sans MT" w:hAnsi="Gill Sans MT" w:cstheme="minorHAnsi"/>
                <w:bCs/>
                <w:color w:val="000000"/>
                <w:sz w:val="20"/>
                <w:szCs w:val="20"/>
              </w:rPr>
              <w:t>Diagnostic network coverage</w:t>
            </w:r>
          </w:p>
          <w:p w14:paraId="4CC4D04C" w14:textId="77777777" w:rsidR="00937F56" w:rsidRPr="00D443CB" w:rsidRDefault="00937F56" w:rsidP="00FC763C">
            <w:pPr>
              <w:widowControl w:val="0"/>
              <w:numPr>
                <w:ilvl w:val="0"/>
                <w:numId w:val="9"/>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Sample referral system</w:t>
            </w:r>
          </w:p>
          <w:p w14:paraId="3577CA87" w14:textId="77777777" w:rsidR="00937F56" w:rsidRPr="00D443CB" w:rsidRDefault="00937F56" w:rsidP="00FC763C">
            <w:pPr>
              <w:widowControl w:val="0"/>
              <w:numPr>
                <w:ilvl w:val="0"/>
                <w:numId w:val="9"/>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Linkages </w:t>
            </w:r>
          </w:p>
          <w:p w14:paraId="4FA16B7E" w14:textId="77777777" w:rsidR="00937F56" w:rsidRPr="00D443CB" w:rsidRDefault="00937F56" w:rsidP="00FC763C">
            <w:pPr>
              <w:widowControl w:val="0"/>
              <w:numPr>
                <w:ilvl w:val="0"/>
                <w:numId w:val="9"/>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Emergency preparedness</w:t>
            </w:r>
          </w:p>
        </w:tc>
      </w:tr>
      <w:tr w:rsidR="009B3F7A" w:rsidRPr="00D443CB" w14:paraId="42B50A45"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332EDEF1" w14:textId="77777777" w:rsidR="00937F56" w:rsidRPr="00D443CB" w:rsidRDefault="00937F56" w:rsidP="00F14FB9">
            <w:pPr>
              <w:widowControl w:val="0"/>
              <w:autoSpaceDE w:val="0"/>
              <w:autoSpaceDN w:val="0"/>
              <w:adjustRightInd w:val="0"/>
              <w:spacing w:line="240" w:lineRule="auto"/>
              <w:rPr>
                <w:rFonts w:ascii="Gill Sans MT" w:hAnsi="Gill Sans MT"/>
                <w:bCs w:val="0"/>
                <w:color w:val="000000"/>
                <w:sz w:val="20"/>
                <w:szCs w:val="20"/>
              </w:rPr>
            </w:pPr>
            <w:r w:rsidRPr="00D443CB">
              <w:rPr>
                <w:rFonts w:ascii="Gill Sans MT" w:hAnsi="Gill Sans MT"/>
                <w:color w:val="000000"/>
                <w:sz w:val="20"/>
                <w:szCs w:val="20"/>
              </w:rPr>
              <w:t>4</w:t>
            </w:r>
          </w:p>
        </w:tc>
        <w:tc>
          <w:tcPr>
            <w:tcW w:w="2411" w:type="pct"/>
            <w:vAlign w:val="center"/>
          </w:tcPr>
          <w:p w14:paraId="282B7F45" w14:textId="4ADBBCC9" w:rsidR="00937F56" w:rsidRPr="00D443CB" w:rsidRDefault="00937F56" w:rsidP="008F79FE">
            <w:pPr>
              <w:widowControl w:val="0"/>
              <w:tabs>
                <w:tab w:val="left" w:pos="719"/>
              </w:tabs>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sz w:val="20"/>
                <w:szCs w:val="20"/>
              </w:rPr>
            </w:pPr>
            <w:r w:rsidRPr="00D443CB">
              <w:rPr>
                <w:rFonts w:ascii="Gill Sans MT" w:hAnsi="Gill Sans MT" w:cstheme="minorHAnsi"/>
                <w:bCs/>
                <w:color w:val="000000"/>
                <w:sz w:val="20"/>
                <w:szCs w:val="20"/>
              </w:rPr>
              <w:t xml:space="preserve">A national TB diagnostic algorithm(s) that is responsive to the epidemic, patient-centered, includes appropriate use of diagnostic technologies, and is based on the current structure of the health system is enforced at all levels of the TB diagnostic network. A minimum package of tests and quality </w:t>
            </w:r>
            <w:r w:rsidRPr="00D443CB">
              <w:rPr>
                <w:rFonts w:ascii="Gill Sans MT" w:hAnsi="Gill Sans MT" w:cstheme="minorHAnsi"/>
                <w:bCs/>
                <w:color w:val="000000" w:themeColor="text1"/>
                <w:sz w:val="20"/>
                <w:szCs w:val="20"/>
              </w:rPr>
              <w:t>standards is defined for each level of the network. Laboratorians, health care workers, and TB program staff are trained in the application of the algorithm</w:t>
            </w:r>
            <w:r w:rsidRPr="00D443CB">
              <w:rPr>
                <w:rFonts w:ascii="Gill Sans MT" w:hAnsi="Gill Sans MT" w:cstheme="minorHAnsi"/>
                <w:color w:val="000000" w:themeColor="text1"/>
                <w:sz w:val="20"/>
                <w:szCs w:val="20"/>
              </w:rPr>
              <w:t>.</w:t>
            </w:r>
          </w:p>
        </w:tc>
        <w:tc>
          <w:tcPr>
            <w:tcW w:w="983" w:type="pct"/>
          </w:tcPr>
          <w:p w14:paraId="27BE4AFE" w14:textId="77777777" w:rsidR="00937F56" w:rsidRPr="00D443CB" w:rsidDel="001C1BF8" w:rsidRDefault="00937F56" w:rsidP="00F14FB9">
            <w:pPr>
              <w:widowControl w:val="0"/>
              <w:tabs>
                <w:tab w:val="left" w:pos="719"/>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Diagnostic algorithm</w:t>
            </w:r>
          </w:p>
        </w:tc>
        <w:tc>
          <w:tcPr>
            <w:tcW w:w="1383" w:type="pct"/>
          </w:tcPr>
          <w:p w14:paraId="4A4FAC58" w14:textId="77777777" w:rsidR="00937F56" w:rsidRPr="00D443CB" w:rsidRDefault="00937F56" w:rsidP="00FC763C">
            <w:pPr>
              <w:widowControl w:val="0"/>
              <w:numPr>
                <w:ilvl w:val="0"/>
                <w:numId w:val="7"/>
              </w:numPr>
              <w:tabs>
                <w:tab w:val="left" w:pos="216"/>
                <w:tab w:val="left" w:pos="360"/>
                <w:tab w:val="left" w:pos="719"/>
              </w:tabs>
              <w:autoSpaceDE w:val="0"/>
              <w:autoSpaceDN w:val="0"/>
              <w:adjustRightInd w:val="0"/>
              <w:spacing w:after="0" w:line="240" w:lineRule="auto"/>
              <w:ind w:hanging="1080"/>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Algorithms</w:t>
            </w:r>
          </w:p>
          <w:p w14:paraId="6D937D0A" w14:textId="57F0F8AB" w:rsidR="00937F56" w:rsidRPr="00D443CB" w:rsidRDefault="00EF597B" w:rsidP="00FC763C">
            <w:pPr>
              <w:widowControl w:val="0"/>
              <w:numPr>
                <w:ilvl w:val="0"/>
                <w:numId w:val="7"/>
              </w:numPr>
              <w:tabs>
                <w:tab w:val="left" w:pos="216"/>
                <w:tab w:val="left" w:pos="360"/>
                <w:tab w:val="left" w:pos="719"/>
              </w:tabs>
              <w:autoSpaceDE w:val="0"/>
              <w:autoSpaceDN w:val="0"/>
              <w:adjustRightInd w:val="0"/>
              <w:spacing w:after="0" w:line="240" w:lineRule="auto"/>
              <w:ind w:hanging="1080"/>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Detection of </w:t>
            </w:r>
            <w:r w:rsidR="00937F56" w:rsidRPr="00D443CB">
              <w:rPr>
                <w:rFonts w:ascii="Gill Sans MT" w:hAnsi="Gill Sans MT" w:cstheme="minorHAnsi"/>
                <w:color w:val="000000"/>
                <w:sz w:val="20"/>
                <w:szCs w:val="20"/>
              </w:rPr>
              <w:t>TB</w:t>
            </w:r>
          </w:p>
          <w:p w14:paraId="4E30D700" w14:textId="5280AD88" w:rsidR="00937F56" w:rsidRPr="00D443CB" w:rsidRDefault="00EF597B" w:rsidP="00FC763C">
            <w:pPr>
              <w:widowControl w:val="0"/>
              <w:numPr>
                <w:ilvl w:val="0"/>
                <w:numId w:val="7"/>
              </w:numPr>
              <w:tabs>
                <w:tab w:val="left" w:pos="216"/>
                <w:tab w:val="left" w:pos="360"/>
                <w:tab w:val="left" w:pos="719"/>
              </w:tabs>
              <w:autoSpaceDE w:val="0"/>
              <w:autoSpaceDN w:val="0"/>
              <w:adjustRightInd w:val="0"/>
              <w:spacing w:after="0" w:line="240" w:lineRule="auto"/>
              <w:ind w:left="288" w:hanging="288"/>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Detection of d</w:t>
            </w:r>
            <w:r w:rsidR="00937F56" w:rsidRPr="00D443CB">
              <w:rPr>
                <w:rFonts w:ascii="Gill Sans MT" w:hAnsi="Gill Sans MT" w:cstheme="minorHAnsi"/>
                <w:color w:val="000000"/>
                <w:sz w:val="20"/>
                <w:szCs w:val="20"/>
              </w:rPr>
              <w:t xml:space="preserve">rug-resistant TB </w:t>
            </w:r>
          </w:p>
        </w:tc>
      </w:tr>
      <w:tr w:rsidR="009B3F7A" w:rsidRPr="00D443CB" w14:paraId="6FF5E1D1"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3657C8CB" w14:textId="77777777" w:rsidR="00937F56" w:rsidRPr="00D443CB" w:rsidRDefault="00937F56" w:rsidP="00F14FB9">
            <w:pPr>
              <w:widowControl w:val="0"/>
              <w:autoSpaceDE w:val="0"/>
              <w:autoSpaceDN w:val="0"/>
              <w:adjustRightInd w:val="0"/>
              <w:spacing w:line="240" w:lineRule="auto"/>
              <w:ind w:left="360" w:hanging="360"/>
              <w:rPr>
                <w:rFonts w:ascii="Gill Sans MT" w:hAnsi="Gill Sans MT"/>
                <w:bCs w:val="0"/>
                <w:color w:val="000000"/>
                <w:sz w:val="20"/>
                <w:szCs w:val="20"/>
              </w:rPr>
            </w:pPr>
            <w:r w:rsidRPr="00D443CB">
              <w:rPr>
                <w:rFonts w:ascii="Gill Sans MT" w:hAnsi="Gill Sans MT"/>
                <w:color w:val="000000"/>
                <w:sz w:val="20"/>
                <w:szCs w:val="20"/>
              </w:rPr>
              <w:lastRenderedPageBreak/>
              <w:t>5</w:t>
            </w:r>
          </w:p>
        </w:tc>
        <w:tc>
          <w:tcPr>
            <w:tcW w:w="2411" w:type="pct"/>
          </w:tcPr>
          <w:p w14:paraId="60BED169" w14:textId="7D135FF2" w:rsidR="00937F56" w:rsidRPr="00D443CB" w:rsidRDefault="00937F56" w:rsidP="008F79FE">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Testing is performed in a manner and in facilities that ensure safety for the staff, customers, community and environment. Sufficient materials, means and skills are available throughout the system to ensure safe and secure procurement, handling, storage, transportation and disposal of samples and materials, both in routine as well as in emergency circumstances.</w:t>
            </w:r>
          </w:p>
        </w:tc>
        <w:tc>
          <w:tcPr>
            <w:tcW w:w="983" w:type="pct"/>
          </w:tcPr>
          <w:p w14:paraId="137495CB" w14:textId="77777777" w:rsidR="00937F56" w:rsidRPr="00D443CB" w:rsidDel="001C1BF8" w:rsidRDefault="00937F56" w:rsidP="00F14FB9">
            <w:pPr>
              <w:widowControl w:val="0"/>
              <w:tabs>
                <w:tab w:val="left" w:pos="36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Biosafety</w:t>
            </w:r>
            <w:r w:rsidRPr="00D443CB">
              <w:rPr>
                <w:rFonts w:ascii="Gill Sans MT" w:hAnsi="Gill Sans MT" w:cstheme="minorHAnsi"/>
                <w:color w:val="000000"/>
                <w:sz w:val="20"/>
                <w:szCs w:val="20"/>
              </w:rPr>
              <w:t xml:space="preserve"> </w:t>
            </w:r>
          </w:p>
        </w:tc>
        <w:tc>
          <w:tcPr>
            <w:tcW w:w="1383" w:type="pct"/>
          </w:tcPr>
          <w:p w14:paraId="7AA34EC1" w14:textId="77777777" w:rsidR="00937F56" w:rsidRPr="00D443CB" w:rsidRDefault="00937F56" w:rsidP="00FC763C">
            <w:pPr>
              <w:widowControl w:val="0"/>
              <w:numPr>
                <w:ilvl w:val="0"/>
                <w:numId w:val="10"/>
              </w:numPr>
              <w:tabs>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Facilities</w:t>
            </w:r>
          </w:p>
          <w:p w14:paraId="6611434A" w14:textId="5C849675" w:rsidR="00937F56" w:rsidRPr="00D443CB" w:rsidRDefault="00937F56" w:rsidP="00FC763C">
            <w:pPr>
              <w:widowControl w:val="0"/>
              <w:numPr>
                <w:ilvl w:val="0"/>
                <w:numId w:val="10"/>
              </w:numPr>
              <w:tabs>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Biosafety </w:t>
            </w:r>
            <w:r w:rsidR="001C16BC" w:rsidRPr="00D443CB">
              <w:rPr>
                <w:rFonts w:ascii="Gill Sans MT" w:hAnsi="Gill Sans MT" w:cstheme="minorHAnsi"/>
                <w:color w:val="000000"/>
                <w:sz w:val="20"/>
                <w:szCs w:val="20"/>
              </w:rPr>
              <w:t xml:space="preserve">and biosecurity </w:t>
            </w:r>
            <w:r w:rsidRPr="00D443CB">
              <w:rPr>
                <w:rFonts w:ascii="Gill Sans MT" w:hAnsi="Gill Sans MT" w:cstheme="minorHAnsi"/>
                <w:color w:val="000000"/>
                <w:sz w:val="20"/>
                <w:szCs w:val="20"/>
              </w:rPr>
              <w:t>manual</w:t>
            </w:r>
          </w:p>
          <w:p w14:paraId="3F4F4D6B" w14:textId="77777777" w:rsidR="00937F56" w:rsidRPr="00D443CB" w:rsidRDefault="00937F56" w:rsidP="00FC763C">
            <w:pPr>
              <w:widowControl w:val="0"/>
              <w:numPr>
                <w:ilvl w:val="0"/>
                <w:numId w:val="10"/>
              </w:numPr>
              <w:tabs>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Biosafety systems</w:t>
            </w:r>
          </w:p>
          <w:p w14:paraId="6059CC0C" w14:textId="77777777" w:rsidR="00937F56" w:rsidRPr="00D443CB" w:rsidRDefault="00937F56" w:rsidP="00FC763C">
            <w:pPr>
              <w:widowControl w:val="0"/>
              <w:numPr>
                <w:ilvl w:val="0"/>
                <w:numId w:val="10"/>
              </w:numPr>
              <w:tabs>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Waste management</w:t>
            </w:r>
          </w:p>
        </w:tc>
      </w:tr>
      <w:tr w:rsidR="009B3F7A" w:rsidRPr="00D443CB" w14:paraId="35503068"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46E4F9A0" w14:textId="77777777" w:rsidR="00937F56" w:rsidRPr="00D443CB" w:rsidRDefault="00937F56" w:rsidP="00F14FB9">
            <w:pPr>
              <w:widowControl w:val="0"/>
              <w:autoSpaceDE w:val="0"/>
              <w:autoSpaceDN w:val="0"/>
              <w:adjustRightInd w:val="0"/>
              <w:spacing w:line="240" w:lineRule="auto"/>
              <w:ind w:left="360" w:hanging="360"/>
              <w:rPr>
                <w:rFonts w:ascii="Gill Sans MT" w:hAnsi="Gill Sans MT"/>
                <w:bCs w:val="0"/>
                <w:color w:val="000000"/>
                <w:sz w:val="20"/>
                <w:szCs w:val="20"/>
              </w:rPr>
            </w:pPr>
            <w:r w:rsidRPr="00D443CB">
              <w:rPr>
                <w:rFonts w:ascii="Gill Sans MT" w:hAnsi="Gill Sans MT"/>
                <w:color w:val="000000"/>
                <w:sz w:val="20"/>
                <w:szCs w:val="20"/>
              </w:rPr>
              <w:t>6</w:t>
            </w:r>
          </w:p>
        </w:tc>
        <w:tc>
          <w:tcPr>
            <w:tcW w:w="2411" w:type="pct"/>
          </w:tcPr>
          <w:p w14:paraId="59493BC7" w14:textId="5CF80413" w:rsidR="00937F56" w:rsidRPr="00D443CB" w:rsidRDefault="00937F56" w:rsidP="008F79FE">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Bidi"/>
                <w:color w:val="000000" w:themeColor="text1"/>
                <w:sz w:val="20"/>
                <w:szCs w:val="20"/>
              </w:rPr>
            </w:pPr>
            <w:r w:rsidRPr="00D443CB">
              <w:rPr>
                <w:rFonts w:ascii="Gill Sans MT" w:hAnsi="Gill Sans MT" w:cstheme="minorBidi"/>
                <w:color w:val="000000"/>
                <w:sz w:val="20"/>
                <w:szCs w:val="20"/>
              </w:rPr>
              <w:t xml:space="preserve">Testing is performed with state-of-the-art and well-maintained equipment and an </w:t>
            </w:r>
            <w:r w:rsidRPr="00D443CB">
              <w:rPr>
                <w:rFonts w:ascii="Gill Sans MT" w:hAnsi="Gill Sans MT" w:cstheme="minorBidi"/>
                <w:color w:val="000000"/>
              </w:rPr>
              <w:t>uninterrupted supply of quality reagents and consum</w:t>
            </w:r>
            <w:r w:rsidRPr="00D443CB">
              <w:rPr>
                <w:rFonts w:ascii="Gill Sans MT" w:hAnsi="Gill Sans MT" w:cstheme="minorBidi"/>
                <w:color w:val="000000"/>
                <w:sz w:val="20"/>
                <w:szCs w:val="20"/>
              </w:rPr>
              <w:t xml:space="preserve">ables using standardized testing methods throughout the country.  </w:t>
            </w:r>
          </w:p>
        </w:tc>
        <w:tc>
          <w:tcPr>
            <w:tcW w:w="983" w:type="pct"/>
          </w:tcPr>
          <w:p w14:paraId="69871429" w14:textId="77777777" w:rsidR="00937F56" w:rsidRPr="00D443CB" w:rsidDel="00DB0B5E" w:rsidRDefault="00937F56" w:rsidP="00F14FB9">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Equipment and supplies</w:t>
            </w:r>
          </w:p>
        </w:tc>
        <w:tc>
          <w:tcPr>
            <w:tcW w:w="1383" w:type="pct"/>
          </w:tcPr>
          <w:p w14:paraId="7E1D650C" w14:textId="77777777" w:rsidR="00937F56" w:rsidRPr="00D443CB" w:rsidRDefault="00937F56" w:rsidP="00FC763C">
            <w:pPr>
              <w:widowControl w:val="0"/>
              <w:numPr>
                <w:ilvl w:val="0"/>
                <w:numId w:val="11"/>
              </w:numPr>
              <w:tabs>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Supply chain management </w:t>
            </w:r>
          </w:p>
          <w:p w14:paraId="48BA7CBD" w14:textId="43BB1FEE" w:rsidR="00937F56" w:rsidRPr="00D443CB" w:rsidRDefault="00937F56" w:rsidP="00FC763C">
            <w:pPr>
              <w:widowControl w:val="0"/>
              <w:numPr>
                <w:ilvl w:val="0"/>
                <w:numId w:val="11"/>
              </w:numPr>
              <w:tabs>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Equipment</w:t>
            </w:r>
            <w:r w:rsidR="008D0B99" w:rsidRPr="00D443CB">
              <w:rPr>
                <w:rFonts w:ascii="Gill Sans MT" w:hAnsi="Gill Sans MT" w:cstheme="minorHAnsi"/>
                <w:color w:val="000000"/>
                <w:sz w:val="20"/>
                <w:szCs w:val="20"/>
              </w:rPr>
              <w:t xml:space="preserve"> management</w:t>
            </w:r>
          </w:p>
        </w:tc>
      </w:tr>
      <w:tr w:rsidR="009B3F7A" w:rsidRPr="00D443CB" w14:paraId="5F090E7C"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605DE623" w14:textId="77777777" w:rsidR="00937F56" w:rsidRPr="00D443CB" w:rsidRDefault="00937F56" w:rsidP="00F14FB9">
            <w:pPr>
              <w:widowControl w:val="0"/>
              <w:autoSpaceDE w:val="0"/>
              <w:autoSpaceDN w:val="0"/>
              <w:adjustRightInd w:val="0"/>
              <w:spacing w:line="240" w:lineRule="auto"/>
              <w:ind w:left="360" w:hanging="360"/>
              <w:rPr>
                <w:rFonts w:ascii="Gill Sans MT" w:hAnsi="Gill Sans MT"/>
                <w:bCs w:val="0"/>
                <w:color w:val="000000"/>
                <w:sz w:val="20"/>
                <w:szCs w:val="20"/>
              </w:rPr>
            </w:pPr>
            <w:r w:rsidRPr="00D443CB">
              <w:rPr>
                <w:rFonts w:ascii="Gill Sans MT" w:hAnsi="Gill Sans MT"/>
                <w:color w:val="000000"/>
                <w:sz w:val="20"/>
                <w:szCs w:val="20"/>
              </w:rPr>
              <w:t>7</w:t>
            </w:r>
          </w:p>
        </w:tc>
        <w:tc>
          <w:tcPr>
            <w:tcW w:w="2411" w:type="pct"/>
          </w:tcPr>
          <w:p w14:paraId="0D52BD30" w14:textId="3D0BC284" w:rsidR="005A756C" w:rsidRPr="00D443CB" w:rsidRDefault="00937F56" w:rsidP="008F79FE">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br w:type="column"/>
            </w:r>
            <w:r w:rsidRPr="00D443CB">
              <w:rPr>
                <w:rFonts w:ascii="Gill Sans MT" w:hAnsi="Gill Sans MT" w:cstheme="minorBidi"/>
                <w:color w:val="000000"/>
                <w:sz w:val="20"/>
                <w:szCs w:val="20"/>
              </w:rPr>
              <w:t>Adequate numbers of competent, well-trained and motivated technical and managerial staff are available at all levels of the diagnostic network.</w:t>
            </w:r>
          </w:p>
        </w:tc>
        <w:tc>
          <w:tcPr>
            <w:tcW w:w="983" w:type="pct"/>
          </w:tcPr>
          <w:p w14:paraId="3A308034" w14:textId="77777777" w:rsidR="00937F56" w:rsidRPr="00D443CB" w:rsidDel="00DB0B5E" w:rsidRDefault="00937F56" w:rsidP="00F14FB9">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Workforce</w:t>
            </w:r>
          </w:p>
        </w:tc>
        <w:tc>
          <w:tcPr>
            <w:tcW w:w="1383" w:type="pct"/>
          </w:tcPr>
          <w:p w14:paraId="71B31358" w14:textId="77777777" w:rsidR="00937F56" w:rsidRPr="00D443CB" w:rsidRDefault="00937F56" w:rsidP="00FC763C">
            <w:pPr>
              <w:widowControl w:val="0"/>
              <w:numPr>
                <w:ilvl w:val="0"/>
                <w:numId w:val="12"/>
              </w:numPr>
              <w:tabs>
                <w:tab w:val="left" w:pos="216"/>
                <w:tab w:val="left" w:pos="360"/>
                <w:tab w:val="left" w:pos="719"/>
              </w:tabs>
              <w:autoSpaceDE w:val="0"/>
              <w:autoSpaceDN w:val="0"/>
              <w:adjustRightInd w:val="0"/>
              <w:spacing w:after="0" w:line="240" w:lineRule="auto"/>
              <w:ind w:left="266" w:hanging="270"/>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Education and training </w:t>
            </w:r>
          </w:p>
          <w:p w14:paraId="7DFA099B" w14:textId="77777777" w:rsidR="00937F56" w:rsidRPr="00D443CB" w:rsidRDefault="00937F56" w:rsidP="00FC763C">
            <w:pPr>
              <w:widowControl w:val="0"/>
              <w:numPr>
                <w:ilvl w:val="0"/>
                <w:numId w:val="12"/>
              </w:numPr>
              <w:tabs>
                <w:tab w:val="left" w:pos="216"/>
                <w:tab w:val="left" w:pos="360"/>
                <w:tab w:val="left" w:pos="719"/>
              </w:tabs>
              <w:autoSpaceDE w:val="0"/>
              <w:autoSpaceDN w:val="0"/>
              <w:adjustRightInd w:val="0"/>
              <w:spacing w:after="0" w:line="240" w:lineRule="auto"/>
              <w:ind w:left="266" w:hanging="270"/>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Staffing</w:t>
            </w:r>
          </w:p>
          <w:p w14:paraId="7C4F7C36" w14:textId="038C26F8" w:rsidR="00937F56" w:rsidRPr="00D443CB" w:rsidRDefault="00937F56" w:rsidP="00FC763C">
            <w:pPr>
              <w:widowControl w:val="0"/>
              <w:numPr>
                <w:ilvl w:val="0"/>
                <w:numId w:val="12"/>
              </w:numPr>
              <w:tabs>
                <w:tab w:val="left" w:pos="216"/>
                <w:tab w:val="left" w:pos="360"/>
              </w:tabs>
              <w:autoSpaceDE w:val="0"/>
              <w:autoSpaceDN w:val="0"/>
              <w:adjustRightInd w:val="0"/>
              <w:spacing w:after="0" w:line="240" w:lineRule="auto"/>
              <w:ind w:left="266" w:hanging="270"/>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H</w:t>
            </w:r>
            <w:r w:rsidR="007D3572" w:rsidRPr="00D443CB">
              <w:rPr>
                <w:rFonts w:ascii="Gill Sans MT" w:hAnsi="Gill Sans MT" w:cstheme="minorHAnsi"/>
                <w:color w:val="000000"/>
                <w:sz w:val="20"/>
                <w:szCs w:val="20"/>
              </w:rPr>
              <w:t>uman resources</w:t>
            </w:r>
            <w:r w:rsidRPr="00D443CB">
              <w:rPr>
                <w:rFonts w:ascii="Gill Sans MT" w:hAnsi="Gill Sans MT" w:cstheme="minorHAnsi"/>
                <w:color w:val="000000"/>
                <w:sz w:val="20"/>
                <w:szCs w:val="20"/>
              </w:rPr>
              <w:t xml:space="preserve"> </w:t>
            </w:r>
            <w:r w:rsidR="002012AA" w:rsidRPr="00D443CB">
              <w:rPr>
                <w:rFonts w:ascii="Gill Sans MT" w:hAnsi="Gill Sans MT" w:cstheme="minorHAnsi"/>
                <w:color w:val="000000"/>
                <w:sz w:val="20"/>
                <w:szCs w:val="20"/>
              </w:rPr>
              <w:t xml:space="preserve">development </w:t>
            </w:r>
            <w:r w:rsidR="00476166" w:rsidRPr="00D443CB">
              <w:rPr>
                <w:rFonts w:ascii="Gill Sans MT" w:hAnsi="Gill Sans MT" w:cstheme="minorHAnsi"/>
                <w:color w:val="000000"/>
                <w:sz w:val="20"/>
                <w:szCs w:val="20"/>
              </w:rPr>
              <w:t>strategies and plans</w:t>
            </w:r>
          </w:p>
          <w:p w14:paraId="105D1C08" w14:textId="77777777" w:rsidR="00937F56" w:rsidRPr="00D443CB" w:rsidRDefault="00937F56" w:rsidP="00FC763C">
            <w:pPr>
              <w:widowControl w:val="0"/>
              <w:numPr>
                <w:ilvl w:val="0"/>
                <w:numId w:val="12"/>
              </w:numPr>
              <w:tabs>
                <w:tab w:val="left" w:pos="216"/>
                <w:tab w:val="left" w:pos="360"/>
                <w:tab w:val="left" w:pos="719"/>
              </w:tabs>
              <w:autoSpaceDE w:val="0"/>
              <w:autoSpaceDN w:val="0"/>
              <w:adjustRightInd w:val="0"/>
              <w:spacing w:after="0" w:line="240" w:lineRule="auto"/>
              <w:ind w:left="266" w:hanging="270"/>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Competency-based job descriptions</w:t>
            </w:r>
          </w:p>
        </w:tc>
      </w:tr>
      <w:tr w:rsidR="009B3F7A" w:rsidRPr="00D443CB" w14:paraId="2EE6DD87"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797D91FF" w14:textId="77777777" w:rsidR="00937F56" w:rsidRPr="00D443CB" w:rsidDel="00810F5C" w:rsidRDefault="00937F56" w:rsidP="00F14FB9">
            <w:pPr>
              <w:widowControl w:val="0"/>
              <w:autoSpaceDE w:val="0"/>
              <w:autoSpaceDN w:val="0"/>
              <w:adjustRightInd w:val="0"/>
              <w:spacing w:line="240" w:lineRule="auto"/>
              <w:ind w:left="360" w:hanging="360"/>
              <w:rPr>
                <w:rFonts w:ascii="Gill Sans MT" w:hAnsi="Gill Sans MT"/>
                <w:bCs w:val="0"/>
                <w:color w:val="000000"/>
                <w:sz w:val="20"/>
                <w:szCs w:val="20"/>
              </w:rPr>
            </w:pPr>
            <w:r w:rsidRPr="00D443CB">
              <w:rPr>
                <w:rFonts w:ascii="Gill Sans MT" w:hAnsi="Gill Sans MT"/>
                <w:color w:val="000000"/>
                <w:sz w:val="20"/>
                <w:szCs w:val="20"/>
              </w:rPr>
              <w:t>8</w:t>
            </w:r>
          </w:p>
        </w:tc>
        <w:tc>
          <w:tcPr>
            <w:tcW w:w="2411" w:type="pct"/>
          </w:tcPr>
          <w:p w14:paraId="6156D381" w14:textId="32BFB097" w:rsidR="00937F56" w:rsidRPr="00D443CB" w:rsidDel="00810F5C" w:rsidRDefault="00937F56" w:rsidP="008F79FE">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sidDel="00810F5C">
              <w:rPr>
                <w:rFonts w:ascii="Gill Sans MT" w:hAnsi="Gill Sans MT" w:cstheme="minorHAnsi"/>
                <w:color w:val="000000"/>
                <w:sz w:val="20"/>
                <w:szCs w:val="20"/>
              </w:rPr>
              <w:t>Inter-operable and inter</w:t>
            </w:r>
            <w:r w:rsidRPr="00D443CB">
              <w:rPr>
                <w:rFonts w:ascii="Gill Sans MT" w:hAnsi="Gill Sans MT" w:cstheme="minorHAnsi"/>
                <w:color w:val="000000"/>
                <w:sz w:val="20"/>
                <w:szCs w:val="20"/>
              </w:rPr>
              <w:t>-</w:t>
            </w:r>
            <w:r w:rsidRPr="00D443CB" w:rsidDel="00810F5C">
              <w:rPr>
                <w:rFonts w:ascii="Gill Sans MT" w:hAnsi="Gill Sans MT" w:cstheme="minorHAnsi"/>
                <w:color w:val="000000"/>
                <w:sz w:val="20"/>
                <w:szCs w:val="20"/>
              </w:rPr>
              <w:t>connected electronic recording and reporting systems are in place that generate reliable data that are monitored and analyzed in real time. These systems comply with international standards to allow the rapid exchange of information</w:t>
            </w:r>
            <w:r w:rsidRPr="00D443CB">
              <w:rPr>
                <w:rFonts w:ascii="Gill Sans MT" w:hAnsi="Gill Sans MT" w:cstheme="minorHAnsi"/>
                <w:color w:val="000000"/>
                <w:sz w:val="20"/>
                <w:szCs w:val="20"/>
              </w:rPr>
              <w:t xml:space="preserve"> in standardized formats</w:t>
            </w:r>
            <w:r w:rsidRPr="00D443CB" w:rsidDel="00810F5C">
              <w:rPr>
                <w:rFonts w:ascii="Gill Sans MT" w:hAnsi="Gill Sans MT" w:cstheme="minorHAnsi"/>
                <w:color w:val="000000"/>
                <w:sz w:val="20"/>
                <w:szCs w:val="20"/>
              </w:rPr>
              <w:t xml:space="preserve"> at national and </w:t>
            </w:r>
            <w:r w:rsidRPr="00D443CB">
              <w:rPr>
                <w:rFonts w:ascii="Gill Sans MT" w:hAnsi="Gill Sans MT" w:cstheme="minorHAnsi"/>
                <w:color w:val="000000"/>
                <w:sz w:val="20"/>
                <w:szCs w:val="20"/>
              </w:rPr>
              <w:t>sub-national</w:t>
            </w:r>
            <w:r w:rsidRPr="00D443CB" w:rsidDel="00810F5C">
              <w:rPr>
                <w:rFonts w:ascii="Gill Sans MT" w:hAnsi="Gill Sans MT" w:cstheme="minorHAnsi"/>
                <w:color w:val="000000"/>
                <w:sz w:val="20"/>
                <w:szCs w:val="20"/>
              </w:rPr>
              <w:t xml:space="preserve"> level. A laboratory information management system </w:t>
            </w:r>
            <w:r w:rsidR="00942326" w:rsidRPr="00D443CB">
              <w:rPr>
                <w:rFonts w:ascii="Gill Sans MT" w:hAnsi="Gill Sans MT" w:cstheme="minorHAnsi"/>
                <w:color w:val="000000"/>
                <w:sz w:val="20"/>
                <w:szCs w:val="20"/>
              </w:rPr>
              <w:t xml:space="preserve">(LIMS) </w:t>
            </w:r>
            <w:r w:rsidRPr="00D443CB" w:rsidDel="00810F5C">
              <w:rPr>
                <w:rFonts w:ascii="Gill Sans MT" w:hAnsi="Gill Sans MT" w:cstheme="minorHAnsi"/>
                <w:color w:val="000000"/>
                <w:sz w:val="20"/>
                <w:szCs w:val="20"/>
              </w:rPr>
              <w:t>provides up to date information about the status of the laboratories and is linked to the Health Management Information System</w:t>
            </w:r>
            <w:r w:rsidR="002012AA" w:rsidRPr="00D443CB">
              <w:rPr>
                <w:rFonts w:ascii="Gill Sans MT" w:hAnsi="Gill Sans MT" w:cstheme="minorHAnsi"/>
                <w:color w:val="000000"/>
                <w:sz w:val="20"/>
                <w:szCs w:val="20"/>
              </w:rPr>
              <w:t xml:space="preserve"> </w:t>
            </w:r>
            <w:r w:rsidRPr="00D443CB" w:rsidDel="00810F5C">
              <w:rPr>
                <w:rFonts w:ascii="Gill Sans MT" w:hAnsi="Gill Sans MT" w:cstheme="minorHAnsi"/>
                <w:color w:val="000000"/>
                <w:sz w:val="20"/>
                <w:szCs w:val="20"/>
              </w:rPr>
              <w:t>of the country.</w:t>
            </w:r>
          </w:p>
        </w:tc>
        <w:tc>
          <w:tcPr>
            <w:tcW w:w="983" w:type="pct"/>
          </w:tcPr>
          <w:p w14:paraId="5AFCDD0B" w14:textId="77777777" w:rsidR="00937F56" w:rsidRPr="00D443CB" w:rsidDel="00DB0B5E" w:rsidRDefault="00937F56" w:rsidP="00F14FB9">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Diagnostics data management</w:t>
            </w:r>
          </w:p>
        </w:tc>
        <w:tc>
          <w:tcPr>
            <w:tcW w:w="1383" w:type="pct"/>
          </w:tcPr>
          <w:p w14:paraId="1C5EC47D" w14:textId="77777777" w:rsidR="00937F56" w:rsidRPr="00D443CB" w:rsidRDefault="00937F56" w:rsidP="00FC763C">
            <w:pPr>
              <w:widowControl w:val="0"/>
              <w:numPr>
                <w:ilvl w:val="0"/>
                <w:numId w:val="13"/>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Data collection forms</w:t>
            </w:r>
          </w:p>
          <w:p w14:paraId="7AA4BBFC" w14:textId="7CC4B41D" w:rsidR="00937F56" w:rsidRPr="00D443CB" w:rsidRDefault="00937F56" w:rsidP="00FC763C">
            <w:pPr>
              <w:widowControl w:val="0"/>
              <w:numPr>
                <w:ilvl w:val="0"/>
                <w:numId w:val="13"/>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Reporting</w:t>
            </w:r>
          </w:p>
          <w:p w14:paraId="213EC7C1" w14:textId="64D6AC27" w:rsidR="008D0B99" w:rsidRPr="00D443CB" w:rsidRDefault="008D0B99" w:rsidP="00FC763C">
            <w:pPr>
              <w:widowControl w:val="0"/>
              <w:numPr>
                <w:ilvl w:val="0"/>
                <w:numId w:val="13"/>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Diagnostics connectivity and remote monitoring</w:t>
            </w:r>
          </w:p>
          <w:p w14:paraId="1CCCA4D1" w14:textId="77777777" w:rsidR="00937F56" w:rsidRPr="00D443CB" w:rsidRDefault="00937F56" w:rsidP="00FC763C">
            <w:pPr>
              <w:widowControl w:val="0"/>
              <w:numPr>
                <w:ilvl w:val="0"/>
                <w:numId w:val="13"/>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Data analysis and sharing</w:t>
            </w:r>
          </w:p>
          <w:p w14:paraId="71DB998C" w14:textId="407C470C" w:rsidR="00937F56" w:rsidRPr="00D443CB" w:rsidRDefault="00937F56" w:rsidP="00FC763C">
            <w:pPr>
              <w:widowControl w:val="0"/>
              <w:numPr>
                <w:ilvl w:val="0"/>
                <w:numId w:val="13"/>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Surveillance</w:t>
            </w:r>
            <w:r w:rsidR="001102F3" w:rsidRPr="00D443CB">
              <w:rPr>
                <w:rFonts w:ascii="Gill Sans MT" w:hAnsi="Gill Sans MT" w:cstheme="minorHAnsi"/>
                <w:color w:val="000000"/>
                <w:sz w:val="20"/>
                <w:szCs w:val="20"/>
              </w:rPr>
              <w:t xml:space="preserve"> and </w:t>
            </w:r>
            <w:r w:rsidRPr="00D443CB">
              <w:rPr>
                <w:rFonts w:ascii="Gill Sans MT" w:hAnsi="Gill Sans MT" w:cstheme="minorHAnsi"/>
                <w:color w:val="000000"/>
                <w:sz w:val="20"/>
                <w:szCs w:val="20"/>
              </w:rPr>
              <w:t>epidemiology</w:t>
            </w:r>
          </w:p>
          <w:p w14:paraId="109E95D6" w14:textId="77777777" w:rsidR="00937F56" w:rsidRPr="00D443CB" w:rsidRDefault="00937F56" w:rsidP="00FC763C">
            <w:pPr>
              <w:widowControl w:val="0"/>
              <w:numPr>
                <w:ilvl w:val="0"/>
                <w:numId w:val="13"/>
              </w:numPr>
              <w:tabs>
                <w:tab w:val="left" w:pos="216"/>
                <w:tab w:val="left" w:pos="26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Security and confidentiality of information</w:t>
            </w:r>
          </w:p>
        </w:tc>
      </w:tr>
      <w:tr w:rsidR="00937F56" w:rsidRPr="00D443CB" w14:paraId="636D80E0"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69CD5304" w14:textId="77777777" w:rsidR="00937F56" w:rsidRPr="00D443CB" w:rsidDel="00982B28" w:rsidRDefault="00937F56" w:rsidP="00F14FB9">
            <w:pPr>
              <w:widowControl w:val="0"/>
              <w:autoSpaceDE w:val="0"/>
              <w:autoSpaceDN w:val="0"/>
              <w:adjustRightInd w:val="0"/>
              <w:spacing w:line="240" w:lineRule="auto"/>
              <w:rPr>
                <w:rFonts w:ascii="Gill Sans MT" w:hAnsi="Gill Sans MT"/>
                <w:bCs w:val="0"/>
                <w:color w:val="000000"/>
                <w:sz w:val="20"/>
                <w:szCs w:val="20"/>
                <w:u w:val="single"/>
              </w:rPr>
            </w:pPr>
            <w:r w:rsidRPr="00D443CB">
              <w:rPr>
                <w:rFonts w:ascii="Gill Sans MT" w:hAnsi="Gill Sans MT"/>
                <w:color w:val="000000"/>
                <w:sz w:val="20"/>
                <w:szCs w:val="20"/>
              </w:rPr>
              <w:t>9</w:t>
            </w:r>
          </w:p>
        </w:tc>
        <w:tc>
          <w:tcPr>
            <w:tcW w:w="2411" w:type="pct"/>
          </w:tcPr>
          <w:p w14:paraId="04F6AB88" w14:textId="009F195A" w:rsidR="00937F56" w:rsidRPr="00D443CB" w:rsidDel="00810F5C" w:rsidRDefault="00937F56" w:rsidP="008F79FE">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b/>
                <w:bCs/>
                <w:color w:val="000000"/>
                <w:sz w:val="20"/>
                <w:szCs w:val="20"/>
              </w:rPr>
            </w:pPr>
            <w:r w:rsidRPr="00D443CB">
              <w:rPr>
                <w:rFonts w:ascii="Gill Sans MT" w:hAnsi="Gill Sans MT" w:cstheme="minorHAnsi"/>
                <w:color w:val="000000"/>
                <w:sz w:val="20"/>
                <w:szCs w:val="20"/>
              </w:rPr>
              <w:t>High quality diagnostic services producing accurate and reliable results are available throughout the network. Continuous quality improvement targets all facilities within the network and includes quality indicator monitoring, external quality ass</w:t>
            </w:r>
            <w:r w:rsidR="00022C62" w:rsidRPr="00D443CB">
              <w:rPr>
                <w:rFonts w:ascii="Gill Sans MT" w:hAnsi="Gill Sans MT" w:cstheme="minorHAnsi"/>
                <w:color w:val="000000"/>
                <w:sz w:val="20"/>
                <w:szCs w:val="20"/>
              </w:rPr>
              <w:t>essment</w:t>
            </w:r>
            <w:r w:rsidRPr="00D443CB">
              <w:rPr>
                <w:rFonts w:ascii="Gill Sans MT" w:hAnsi="Gill Sans MT" w:cstheme="minorHAnsi"/>
                <w:color w:val="000000"/>
                <w:sz w:val="20"/>
                <w:szCs w:val="20"/>
              </w:rPr>
              <w:t>, and regular on-site supervision. A system of national certification is in place for all public and private laboratories within the network and reference and referral level laboratories are accredited according to national or international standards.</w:t>
            </w:r>
          </w:p>
        </w:tc>
        <w:tc>
          <w:tcPr>
            <w:tcW w:w="983" w:type="pct"/>
          </w:tcPr>
          <w:p w14:paraId="061F232D" w14:textId="77777777" w:rsidR="00937F56" w:rsidRPr="00D443CB" w:rsidDel="00DB0B5E" w:rsidRDefault="00937F56" w:rsidP="00F14FB9">
            <w:pPr>
              <w:widowControl w:val="0"/>
              <w:tabs>
                <w:tab w:val="left" w:pos="719"/>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Quality</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of</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the</w:t>
            </w:r>
            <w:r w:rsidRPr="00D443CB">
              <w:rPr>
                <w:rFonts w:ascii="Gill Sans MT" w:hAnsi="Gill Sans MT" w:cstheme="minorHAnsi"/>
                <w:color w:val="000000"/>
                <w:sz w:val="20"/>
                <w:szCs w:val="20"/>
              </w:rPr>
              <w:t xml:space="preserve"> </w:t>
            </w:r>
            <w:r w:rsidRPr="00D443CB">
              <w:rPr>
                <w:rFonts w:ascii="Gill Sans MT" w:hAnsi="Gill Sans MT" w:cstheme="minorHAnsi"/>
                <w:bCs/>
                <w:color w:val="000000"/>
                <w:sz w:val="20"/>
                <w:szCs w:val="20"/>
              </w:rPr>
              <w:t>diagnostic network</w:t>
            </w:r>
          </w:p>
        </w:tc>
        <w:tc>
          <w:tcPr>
            <w:tcW w:w="1383" w:type="pct"/>
          </w:tcPr>
          <w:p w14:paraId="7395339C" w14:textId="77777777" w:rsidR="00937F56" w:rsidRPr="00D443CB" w:rsidRDefault="00937F56"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Documents and document control</w:t>
            </w:r>
          </w:p>
          <w:p w14:paraId="3DE9E5B4" w14:textId="77777777" w:rsidR="00937F56" w:rsidRPr="00D443CB" w:rsidRDefault="00937F56"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Quality assurance </w:t>
            </w:r>
          </w:p>
          <w:p w14:paraId="511DF1F2" w14:textId="28486AC8" w:rsidR="00937F56" w:rsidRPr="00D443CB" w:rsidRDefault="00937F56"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Quality management system</w:t>
            </w:r>
          </w:p>
          <w:p w14:paraId="04D7BCAA" w14:textId="77777777" w:rsidR="00937F56" w:rsidRPr="00D443CB" w:rsidRDefault="00937F56"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Certification and accreditation</w:t>
            </w:r>
          </w:p>
        </w:tc>
      </w:tr>
      <w:tr w:rsidR="008D360B" w:rsidRPr="00D443CB" w14:paraId="47B3B028" w14:textId="77777777" w:rsidTr="008F79FE">
        <w:tc>
          <w:tcPr>
            <w:cnfStyle w:val="001000000000" w:firstRow="0" w:lastRow="0" w:firstColumn="1" w:lastColumn="0" w:oddVBand="0" w:evenVBand="0" w:oddHBand="0" w:evenHBand="0" w:firstRowFirstColumn="0" w:firstRowLastColumn="0" w:lastRowFirstColumn="0" w:lastRowLastColumn="0"/>
            <w:tcW w:w="223" w:type="pct"/>
          </w:tcPr>
          <w:p w14:paraId="5F9E2DC3" w14:textId="557FD7C3" w:rsidR="00EB622B" w:rsidRPr="00D443CB" w:rsidRDefault="00EB622B" w:rsidP="00F14FB9">
            <w:pPr>
              <w:widowControl w:val="0"/>
              <w:autoSpaceDE w:val="0"/>
              <w:autoSpaceDN w:val="0"/>
              <w:adjustRightInd w:val="0"/>
              <w:spacing w:line="240" w:lineRule="auto"/>
              <w:rPr>
                <w:rFonts w:ascii="Gill Sans MT" w:hAnsi="Gill Sans MT"/>
                <w:color w:val="000000"/>
                <w:sz w:val="20"/>
                <w:szCs w:val="20"/>
              </w:rPr>
            </w:pPr>
            <w:r w:rsidRPr="00D443CB">
              <w:rPr>
                <w:rFonts w:ascii="Gill Sans MT" w:hAnsi="Gill Sans MT"/>
                <w:color w:val="000000"/>
                <w:sz w:val="20"/>
                <w:szCs w:val="20"/>
              </w:rPr>
              <w:t>10</w:t>
            </w:r>
          </w:p>
        </w:tc>
        <w:tc>
          <w:tcPr>
            <w:tcW w:w="2411" w:type="pct"/>
          </w:tcPr>
          <w:p w14:paraId="524E7558" w14:textId="045B9EB9" w:rsidR="00EB622B" w:rsidRPr="00D443CB" w:rsidRDefault="00EB622B" w:rsidP="00EB622B">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A comprehensive approach is needed to combat the twin epidemics of HIV/AIDS and TB. All persons being evaluated for TB should receive free HIV testing and if found positive referred to appropriate counseling and care. All HIV+ persons should be screened for TB and linked to appropriate diagnostic testing. Coordination and communication between the National AIDS Control Program and National TB Control Program are essential. The TB diagnostic network should collaborate with the HIV diagnostic network regarding laboratory and diagnostic services (e.g., specimen transport, shared diagnostic platforms, referrals for testing, etc.).</w:t>
            </w:r>
          </w:p>
        </w:tc>
        <w:tc>
          <w:tcPr>
            <w:tcW w:w="983" w:type="pct"/>
          </w:tcPr>
          <w:p w14:paraId="26F89334" w14:textId="2896FA7E" w:rsidR="00EB622B" w:rsidRPr="00D443CB" w:rsidRDefault="00EB622B" w:rsidP="00F14FB9">
            <w:pPr>
              <w:widowControl w:val="0"/>
              <w:tabs>
                <w:tab w:val="left" w:pos="719"/>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Gill Sans MT" w:hAnsi="Gill Sans MT" w:cstheme="minorHAnsi"/>
                <w:bCs/>
                <w:color w:val="000000"/>
                <w:sz w:val="20"/>
                <w:szCs w:val="20"/>
              </w:rPr>
            </w:pPr>
            <w:r w:rsidRPr="00D443CB">
              <w:rPr>
                <w:rFonts w:ascii="Gill Sans MT" w:hAnsi="Gill Sans MT" w:cstheme="minorHAnsi"/>
                <w:bCs/>
                <w:color w:val="000000"/>
                <w:sz w:val="20"/>
                <w:szCs w:val="20"/>
              </w:rPr>
              <w:t>TB/HIV</w:t>
            </w:r>
          </w:p>
        </w:tc>
        <w:tc>
          <w:tcPr>
            <w:tcW w:w="1383" w:type="pct"/>
          </w:tcPr>
          <w:p w14:paraId="2A9C4C30" w14:textId="77777777" w:rsidR="00EB622B" w:rsidRPr="00D443CB" w:rsidRDefault="00EB622B"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Legislation and policies</w:t>
            </w:r>
          </w:p>
          <w:p w14:paraId="770EC963" w14:textId="3B11B7CF" w:rsidR="00EB622B" w:rsidRPr="00D443CB" w:rsidRDefault="00EB622B"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Structure and organization of the network </w:t>
            </w:r>
          </w:p>
          <w:p w14:paraId="6E8259FE" w14:textId="31C54762" w:rsidR="00EB622B" w:rsidRPr="00D443CB" w:rsidRDefault="00EB622B"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Coverage</w:t>
            </w:r>
          </w:p>
          <w:p w14:paraId="77E7ED56" w14:textId="77777777" w:rsidR="00EB622B" w:rsidRPr="00D443CB" w:rsidRDefault="00EB622B"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Diagnostic Algorithm</w:t>
            </w:r>
          </w:p>
          <w:p w14:paraId="7E4F0777" w14:textId="43B69036" w:rsidR="00EB622B" w:rsidRPr="00D443CB" w:rsidRDefault="00EB622B"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 xml:space="preserve">Workforce, </w:t>
            </w:r>
          </w:p>
          <w:p w14:paraId="2933EA63" w14:textId="17890344" w:rsidR="00EB622B" w:rsidRPr="00D443CB" w:rsidRDefault="00EB622B" w:rsidP="00FC763C">
            <w:pPr>
              <w:widowControl w:val="0"/>
              <w:numPr>
                <w:ilvl w:val="0"/>
                <w:numId w:val="14"/>
              </w:numPr>
              <w:tabs>
                <w:tab w:val="clear" w:pos="720"/>
                <w:tab w:val="left" w:pos="216"/>
                <w:tab w:val="left" w:pos="360"/>
              </w:tabs>
              <w:autoSpaceDE w:val="0"/>
              <w:autoSpaceDN w:val="0"/>
              <w:adjustRightInd w:val="0"/>
              <w:spacing w:after="0" w:line="240" w:lineRule="auto"/>
              <w:ind w:left="266" w:hanging="266"/>
              <w:cnfStyle w:val="000000000000" w:firstRow="0" w:lastRow="0" w:firstColumn="0" w:lastColumn="0" w:oddVBand="0" w:evenVBand="0" w:oddHBand="0" w:evenHBand="0" w:firstRowFirstColumn="0" w:firstRowLastColumn="0" w:lastRowFirstColumn="0" w:lastRowLastColumn="0"/>
              <w:rPr>
                <w:rFonts w:ascii="Gill Sans MT" w:hAnsi="Gill Sans MT" w:cstheme="minorHAnsi"/>
                <w:color w:val="000000"/>
                <w:sz w:val="20"/>
                <w:szCs w:val="20"/>
              </w:rPr>
            </w:pPr>
            <w:r w:rsidRPr="00D443CB">
              <w:rPr>
                <w:rFonts w:ascii="Gill Sans MT" w:hAnsi="Gill Sans MT" w:cstheme="minorHAnsi"/>
                <w:color w:val="000000"/>
                <w:sz w:val="20"/>
                <w:szCs w:val="20"/>
              </w:rPr>
              <w:t>Diagnostic Data Management</w:t>
            </w:r>
          </w:p>
        </w:tc>
      </w:tr>
    </w:tbl>
    <w:p w14:paraId="6E61E616" w14:textId="77777777" w:rsidR="00937F56" w:rsidRPr="00D443CB" w:rsidRDefault="00937F56" w:rsidP="003F0903">
      <w:pPr>
        <w:spacing w:after="0" w:line="240" w:lineRule="auto"/>
        <w:rPr>
          <w:rFonts w:ascii="Gill Sans MT" w:hAnsi="Gill Sans MT" w:cstheme="minorHAnsi"/>
          <w:color w:val="000000" w:themeColor="text1"/>
        </w:rPr>
      </w:pPr>
    </w:p>
    <w:p w14:paraId="17E1586C" w14:textId="77777777" w:rsidR="0035029A" w:rsidRPr="00D443CB" w:rsidRDefault="0035029A" w:rsidP="003F0903">
      <w:pPr>
        <w:widowControl w:val="0"/>
        <w:autoSpaceDE w:val="0"/>
        <w:autoSpaceDN w:val="0"/>
        <w:adjustRightInd w:val="0"/>
        <w:spacing w:after="0" w:line="240" w:lineRule="auto"/>
        <w:rPr>
          <w:rFonts w:ascii="Gill Sans MT" w:eastAsia="Calibri" w:hAnsi="Gill Sans MT" w:cstheme="minorHAnsi"/>
          <w:lang w:eastAsia="zh-CN"/>
        </w:rPr>
      </w:pPr>
    </w:p>
    <w:p w14:paraId="39F46A30" w14:textId="77777777" w:rsidR="009472CF" w:rsidRPr="00D443CB" w:rsidRDefault="009472CF" w:rsidP="003C2D14">
      <w:pPr>
        <w:pStyle w:val="Heading2"/>
        <w:rPr>
          <w:rFonts w:ascii="Gill Sans MT" w:hAnsi="Gill Sans MT" w:cstheme="minorHAnsi"/>
          <w:bCs/>
          <w:color w:val="000000" w:themeColor="text1"/>
        </w:rPr>
      </w:pPr>
      <w:bookmarkStart w:id="19" w:name="_Toc37317820"/>
      <w:r w:rsidRPr="00D443CB">
        <w:rPr>
          <w:rFonts w:ascii="Gill Sans MT" w:hAnsi="Gill Sans MT" w:cstheme="minorHAnsi"/>
          <w:bCs/>
          <w:color w:val="000000" w:themeColor="text1"/>
        </w:rPr>
        <w:lastRenderedPageBreak/>
        <w:t>Questions and Stages</w:t>
      </w:r>
      <w:bookmarkEnd w:id="19"/>
    </w:p>
    <w:p w14:paraId="2742C394" w14:textId="71927F33" w:rsidR="00A311B1" w:rsidRPr="00D443CB" w:rsidRDefault="00A311B1" w:rsidP="008F79FE">
      <w:pPr>
        <w:widowControl w:val="0"/>
        <w:autoSpaceDE w:val="0"/>
        <w:autoSpaceDN w:val="0"/>
        <w:adjustRightInd w:val="0"/>
        <w:spacing w:after="0" w:line="240" w:lineRule="auto"/>
        <w:ind w:right="-20"/>
        <w:jc w:val="both"/>
        <w:rPr>
          <w:rFonts w:ascii="Gill Sans MT" w:eastAsia="Calibri" w:hAnsi="Gill Sans MT" w:cstheme="minorHAnsi"/>
          <w:color w:val="000000" w:themeColor="text1"/>
          <w:lang w:eastAsia="zh-CN"/>
        </w:rPr>
      </w:pPr>
      <w:r w:rsidRPr="00D443CB">
        <w:rPr>
          <w:rFonts w:ascii="Gill Sans MT" w:eastAsia="Calibri" w:hAnsi="Gill Sans MT" w:cstheme="minorHAnsi"/>
          <w:lang w:eastAsia="zh-CN"/>
        </w:rPr>
        <w:t xml:space="preserve">The </w:t>
      </w:r>
      <w:r w:rsidR="005805FA" w:rsidRPr="00D443CB">
        <w:rPr>
          <w:rFonts w:ascii="Gill Sans MT" w:eastAsia="Calibri" w:hAnsi="Gill Sans MT" w:cstheme="minorHAnsi"/>
          <w:lang w:eastAsia="zh-CN"/>
        </w:rPr>
        <w:t>TB-Net Tool</w:t>
      </w:r>
      <w:r w:rsidRPr="00D443CB">
        <w:rPr>
          <w:rFonts w:ascii="Gill Sans MT" w:eastAsia="Calibri" w:hAnsi="Gill Sans MT" w:cstheme="minorHAnsi"/>
          <w:lang w:eastAsia="zh-CN"/>
        </w:rPr>
        <w:t xml:space="preserve"> uses the same semi-quantitative scoring procedures as  African Society of Laboratory Medicine (ASLM)/Association of Public Health Laboratories (APHL) National Laboratory Network Assessment (LABNET) scorecard</w:t>
      </w:r>
      <w:r w:rsidRPr="00D443CB">
        <w:rPr>
          <w:rFonts w:ascii="Gill Sans MT" w:eastAsia="Calibri" w:hAnsi="Gill Sans MT" w:cstheme="minorHAnsi"/>
          <w:vertAlign w:val="superscript"/>
          <w:lang w:eastAsia="zh-CN"/>
        </w:rPr>
        <w:footnoteReference w:id="11"/>
      </w:r>
      <w:r w:rsidRPr="00D443CB">
        <w:rPr>
          <w:rFonts w:ascii="Gill Sans MT" w:eastAsia="Calibri" w:hAnsi="Gill Sans MT" w:cstheme="minorHAnsi"/>
          <w:lang w:eastAsia="zh-CN"/>
        </w:rPr>
        <w:t xml:space="preserve">, developed by ASLM, APHL, the Royal Tropical Institute (KIT) and the Amsterdam Institute of Global Health and Development (AIGHD) </w:t>
      </w:r>
      <w:r w:rsidRPr="00D443CB">
        <w:rPr>
          <w:rFonts w:ascii="Gill Sans MT" w:eastAsia="Calibri" w:hAnsi="Gill Sans MT" w:cstheme="minorHAnsi"/>
          <w:color w:val="000000" w:themeColor="text1"/>
          <w:lang w:eastAsia="zh-CN"/>
        </w:rPr>
        <w:t>to identify the ‘capability’ stage of various aspects of the diagnostic network to describe current capabilities and to help identify areas for improvement. Th</w:t>
      </w:r>
      <w:r w:rsidR="002D1EA4" w:rsidRPr="00D443CB">
        <w:rPr>
          <w:rFonts w:ascii="Gill Sans MT" w:eastAsia="Calibri" w:hAnsi="Gill Sans MT" w:cstheme="minorHAnsi"/>
          <w:color w:val="000000" w:themeColor="text1"/>
          <w:lang w:eastAsia="zh-CN"/>
        </w:rPr>
        <w:t xml:space="preserve">e </w:t>
      </w:r>
      <w:r w:rsidR="005805FA" w:rsidRPr="00D443CB">
        <w:rPr>
          <w:rFonts w:ascii="Gill Sans MT" w:eastAsia="Calibri" w:hAnsi="Gill Sans MT" w:cstheme="minorHAnsi"/>
          <w:color w:val="000000" w:themeColor="text1"/>
          <w:lang w:eastAsia="zh-CN"/>
        </w:rPr>
        <w:t>TB-Net Tool</w:t>
      </w:r>
      <w:r w:rsidRPr="00D443CB">
        <w:rPr>
          <w:rFonts w:ascii="Gill Sans MT" w:eastAsia="Calibri" w:hAnsi="Gill Sans MT" w:cstheme="minorHAnsi"/>
          <w:color w:val="000000" w:themeColor="text1"/>
          <w:lang w:eastAsia="zh-CN"/>
        </w:rPr>
        <w:t xml:space="preserve"> may also be used to monitor performance of national TB diagnostic systems and networks over time.</w:t>
      </w:r>
    </w:p>
    <w:p w14:paraId="42F3C517" w14:textId="77777777" w:rsidR="00A311B1" w:rsidRPr="00D443CB" w:rsidRDefault="00A311B1" w:rsidP="008F79FE">
      <w:pPr>
        <w:widowControl w:val="0"/>
        <w:autoSpaceDE w:val="0"/>
        <w:autoSpaceDN w:val="0"/>
        <w:adjustRightInd w:val="0"/>
        <w:spacing w:after="0" w:line="240" w:lineRule="auto"/>
        <w:ind w:right="-20"/>
        <w:jc w:val="both"/>
        <w:rPr>
          <w:rFonts w:ascii="Gill Sans MT" w:hAnsi="Gill Sans MT" w:cstheme="minorHAnsi"/>
          <w:color w:val="000000" w:themeColor="text1"/>
        </w:rPr>
      </w:pPr>
    </w:p>
    <w:p w14:paraId="71AA7ADB" w14:textId="2335FFAD" w:rsidR="009472CF" w:rsidRPr="00D443CB" w:rsidRDefault="00F1096E" w:rsidP="008F79FE">
      <w:pPr>
        <w:widowControl w:val="0"/>
        <w:autoSpaceDE w:val="0"/>
        <w:autoSpaceDN w:val="0"/>
        <w:adjustRightInd w:val="0"/>
        <w:spacing w:after="0" w:line="240" w:lineRule="auto"/>
        <w:ind w:right="-20"/>
        <w:jc w:val="both"/>
        <w:rPr>
          <w:rFonts w:ascii="Gill Sans MT" w:hAnsi="Gill Sans MT" w:cstheme="minorHAnsi"/>
          <w:color w:val="000000" w:themeColor="text1"/>
        </w:rPr>
      </w:pPr>
      <w:r w:rsidRPr="00D443CB">
        <w:rPr>
          <w:rFonts w:ascii="Gill Sans MT" w:hAnsi="Gill Sans MT" w:cstheme="minorHAnsi"/>
          <w:color w:val="000000" w:themeColor="text1"/>
        </w:rPr>
        <w:t xml:space="preserve">Within the TB-Net Tool, standardized “questions” </w:t>
      </w:r>
      <w:r w:rsidR="009472CF" w:rsidRPr="00D443CB">
        <w:rPr>
          <w:rFonts w:ascii="Gill Sans MT" w:hAnsi="Gill Sans MT" w:cstheme="minorHAnsi"/>
          <w:color w:val="000000" w:themeColor="text1"/>
        </w:rPr>
        <w:t>are used to assess to what degree each component meet</w:t>
      </w:r>
      <w:r w:rsidR="001948B6" w:rsidRPr="00D443CB">
        <w:rPr>
          <w:rFonts w:ascii="Gill Sans MT" w:hAnsi="Gill Sans MT" w:cstheme="minorHAnsi"/>
          <w:color w:val="000000" w:themeColor="text1"/>
        </w:rPr>
        <w:t>s</w:t>
      </w:r>
      <w:r w:rsidR="009472CF" w:rsidRPr="00D443CB">
        <w:rPr>
          <w:rFonts w:ascii="Gill Sans MT" w:hAnsi="Gill Sans MT" w:cstheme="minorHAnsi"/>
          <w:color w:val="000000" w:themeColor="text1"/>
        </w:rPr>
        <w:t xml:space="preserve"> the diagnostic network standard</w:t>
      </w:r>
      <w:r w:rsidR="00714FA9" w:rsidRPr="00D443CB">
        <w:rPr>
          <w:rFonts w:ascii="Gill Sans MT" w:hAnsi="Gill Sans MT" w:cstheme="minorHAnsi"/>
          <w:color w:val="000000" w:themeColor="text1"/>
        </w:rPr>
        <w:t xml:space="preserve"> and p</w:t>
      </w:r>
      <w:r w:rsidR="002D1EA4" w:rsidRPr="00D443CB">
        <w:rPr>
          <w:rFonts w:ascii="Gill Sans MT" w:hAnsi="Gill Sans MT" w:cstheme="minorHAnsi"/>
          <w:color w:val="000000" w:themeColor="text1"/>
        </w:rPr>
        <w:t>re-defined a</w:t>
      </w:r>
      <w:r w:rsidR="009472CF" w:rsidRPr="00D443CB">
        <w:rPr>
          <w:rFonts w:ascii="Gill Sans MT" w:hAnsi="Gill Sans MT" w:cstheme="minorHAnsi"/>
          <w:color w:val="000000" w:themeColor="text1"/>
        </w:rPr>
        <w:t xml:space="preserve">ttributes of each </w:t>
      </w:r>
      <w:r w:rsidR="00D14414" w:rsidRPr="00D443CB">
        <w:rPr>
          <w:rFonts w:ascii="Gill Sans MT" w:hAnsi="Gill Sans MT" w:cstheme="minorHAnsi"/>
          <w:color w:val="000000" w:themeColor="text1"/>
        </w:rPr>
        <w:t xml:space="preserve">question </w:t>
      </w:r>
      <w:r w:rsidR="009472CF" w:rsidRPr="00D443CB">
        <w:rPr>
          <w:rFonts w:ascii="Gill Sans MT" w:hAnsi="Gill Sans MT" w:cstheme="minorHAnsi"/>
          <w:color w:val="000000" w:themeColor="text1"/>
        </w:rPr>
        <w:t xml:space="preserve">are used to define six stages </w:t>
      </w:r>
      <w:r w:rsidR="00714FA9" w:rsidRPr="00D443CB">
        <w:rPr>
          <w:rFonts w:ascii="Gill Sans MT" w:hAnsi="Gill Sans MT" w:cstheme="minorHAnsi"/>
          <w:color w:val="000000" w:themeColor="text1"/>
        </w:rPr>
        <w:t xml:space="preserve">(0–5) </w:t>
      </w:r>
      <w:r w:rsidR="009472CF" w:rsidRPr="00D443CB">
        <w:rPr>
          <w:rFonts w:ascii="Gill Sans MT" w:hAnsi="Gill Sans MT" w:cstheme="minorHAnsi"/>
          <w:color w:val="000000" w:themeColor="text1"/>
        </w:rPr>
        <w:t>of capability from ‘completely absent’ to ‘fully compliant with international standards’. The stages, based on a Capability Maturity Measurement Model (CMM)</w:t>
      </w:r>
      <w:r w:rsidR="009472CF" w:rsidRPr="00D443CB">
        <w:rPr>
          <w:rStyle w:val="FootnoteReference"/>
          <w:rFonts w:ascii="Gill Sans MT" w:hAnsi="Gill Sans MT" w:cstheme="minorHAnsi"/>
          <w:color w:val="000000" w:themeColor="text1"/>
        </w:rPr>
        <w:footnoteReference w:id="12"/>
      </w:r>
      <w:r w:rsidR="009472CF" w:rsidRPr="00D443CB">
        <w:rPr>
          <w:rFonts w:ascii="Gill Sans MT" w:hAnsi="Gill Sans MT" w:cstheme="minorHAnsi"/>
          <w:color w:val="000000" w:themeColor="text1"/>
        </w:rPr>
        <w:t>, to provide a semi-quantitative measure of the stepwise progression towards complete fulfillment of each component of a core capacity.</w:t>
      </w:r>
      <w:r w:rsidR="00B53C10" w:rsidRPr="00D443CB">
        <w:rPr>
          <w:rFonts w:ascii="Gill Sans MT" w:hAnsi="Gill Sans MT" w:cstheme="minorHAnsi"/>
          <w:color w:val="000000" w:themeColor="text1"/>
        </w:rPr>
        <w:t xml:space="preserve"> </w:t>
      </w:r>
      <w:r w:rsidR="009472CF" w:rsidRPr="00D443CB">
        <w:rPr>
          <w:rFonts w:ascii="Gill Sans MT" w:hAnsi="Gill Sans MT" w:cstheme="minorHAnsi"/>
          <w:color w:val="000000" w:themeColor="text1"/>
        </w:rPr>
        <w:t>The stages of capability are defined as:</w:t>
      </w:r>
    </w:p>
    <w:p w14:paraId="3438191F" w14:textId="77777777" w:rsidR="009472CF" w:rsidRPr="00D443CB" w:rsidRDefault="009472CF" w:rsidP="00FC763C">
      <w:pPr>
        <w:pStyle w:val="ListBullet2"/>
        <w:numPr>
          <w:ilvl w:val="0"/>
          <w:numId w:val="15"/>
        </w:numPr>
        <w:jc w:val="both"/>
        <w:rPr>
          <w:rFonts w:ascii="Gill Sans MT" w:hAnsi="Gill Sans MT" w:cstheme="minorHAnsi"/>
          <w:color w:val="000000" w:themeColor="text1"/>
          <w:sz w:val="22"/>
          <w:szCs w:val="22"/>
        </w:rPr>
      </w:pPr>
      <w:r w:rsidRPr="00D443CB">
        <w:rPr>
          <w:rFonts w:ascii="Gill Sans MT" w:hAnsi="Gill Sans MT" w:cstheme="minorHAnsi"/>
          <w:i/>
          <w:iCs/>
          <w:color w:val="000000" w:themeColor="text1"/>
          <w:sz w:val="22"/>
          <w:szCs w:val="22"/>
        </w:rPr>
        <w:t>Stage</w:t>
      </w:r>
      <w:r w:rsidRPr="00D443CB">
        <w:rPr>
          <w:rFonts w:ascii="Gill Sans MT" w:hAnsi="Gill Sans MT" w:cstheme="minorHAnsi"/>
          <w:color w:val="000000" w:themeColor="text1"/>
          <w:sz w:val="22"/>
          <w:szCs w:val="22"/>
        </w:rPr>
        <w:t xml:space="preserve"> </w:t>
      </w:r>
      <w:r w:rsidRPr="00D443CB">
        <w:rPr>
          <w:rFonts w:ascii="Gill Sans MT" w:hAnsi="Gill Sans MT" w:cstheme="minorHAnsi"/>
          <w:i/>
          <w:iCs/>
          <w:color w:val="000000" w:themeColor="text1"/>
          <w:sz w:val="22"/>
          <w:szCs w:val="22"/>
        </w:rPr>
        <w:t>0</w:t>
      </w:r>
      <w:r w:rsidRPr="00D443CB">
        <w:rPr>
          <w:rFonts w:ascii="Gill Sans MT" w:hAnsi="Gill Sans MT" w:cstheme="minorHAnsi"/>
          <w:color w:val="000000" w:themeColor="text1"/>
          <w:sz w:val="22"/>
          <w:szCs w:val="22"/>
        </w:rPr>
        <w:t>: Absence of attributes that are considered key to the development of inputs and processes needed for the implementation of a functional diagnostic network.</w:t>
      </w:r>
    </w:p>
    <w:p w14:paraId="672893F3" w14:textId="77777777" w:rsidR="009472CF" w:rsidRPr="00D443CB" w:rsidRDefault="009472CF" w:rsidP="00FC763C">
      <w:pPr>
        <w:pStyle w:val="ListBullet2"/>
        <w:numPr>
          <w:ilvl w:val="0"/>
          <w:numId w:val="15"/>
        </w:numPr>
        <w:jc w:val="both"/>
        <w:rPr>
          <w:rFonts w:ascii="Gill Sans MT" w:hAnsi="Gill Sans MT" w:cstheme="minorHAnsi"/>
          <w:color w:val="000000" w:themeColor="text1"/>
          <w:sz w:val="22"/>
          <w:szCs w:val="22"/>
        </w:rPr>
      </w:pPr>
      <w:r w:rsidRPr="00D443CB">
        <w:rPr>
          <w:rFonts w:ascii="Gill Sans MT" w:hAnsi="Gill Sans MT" w:cstheme="minorHAnsi"/>
          <w:i/>
          <w:iCs/>
          <w:color w:val="000000" w:themeColor="text1"/>
          <w:sz w:val="22"/>
          <w:szCs w:val="22"/>
        </w:rPr>
        <w:t>Stage</w:t>
      </w:r>
      <w:r w:rsidRPr="00D443CB">
        <w:rPr>
          <w:rFonts w:ascii="Gill Sans MT" w:hAnsi="Gill Sans MT" w:cstheme="minorHAnsi"/>
          <w:color w:val="000000" w:themeColor="text1"/>
          <w:sz w:val="22"/>
          <w:szCs w:val="22"/>
        </w:rPr>
        <w:t xml:space="preserve"> </w:t>
      </w:r>
      <w:r w:rsidRPr="00D443CB">
        <w:rPr>
          <w:rFonts w:ascii="Gill Sans MT" w:hAnsi="Gill Sans MT" w:cstheme="minorHAnsi"/>
          <w:i/>
          <w:iCs/>
          <w:color w:val="000000" w:themeColor="text1"/>
          <w:sz w:val="22"/>
          <w:szCs w:val="22"/>
        </w:rPr>
        <w:t>1:</w:t>
      </w:r>
      <w:r w:rsidRPr="00D443CB">
        <w:rPr>
          <w:rFonts w:ascii="Gill Sans MT" w:hAnsi="Gill Sans MT" w:cstheme="minorHAnsi"/>
          <w:color w:val="000000" w:themeColor="text1"/>
          <w:sz w:val="22"/>
          <w:szCs w:val="22"/>
        </w:rPr>
        <w:t xml:space="preserve"> Foundational level. Includes attributes that are considered key to the development of inputs and processes needed for the implementation of a functional diagnostic network.</w:t>
      </w:r>
    </w:p>
    <w:p w14:paraId="1AC0BB61" w14:textId="77777777" w:rsidR="009472CF" w:rsidRPr="00D443CB" w:rsidRDefault="009472CF" w:rsidP="00FC763C">
      <w:pPr>
        <w:pStyle w:val="ListBullet2"/>
        <w:numPr>
          <w:ilvl w:val="0"/>
          <w:numId w:val="15"/>
        </w:numPr>
        <w:jc w:val="both"/>
        <w:rPr>
          <w:rFonts w:ascii="Gill Sans MT" w:hAnsi="Gill Sans MT" w:cstheme="minorHAnsi"/>
          <w:color w:val="000000" w:themeColor="text1"/>
          <w:sz w:val="22"/>
          <w:szCs w:val="22"/>
        </w:rPr>
      </w:pPr>
      <w:r w:rsidRPr="00D443CB">
        <w:rPr>
          <w:rFonts w:ascii="Gill Sans MT" w:hAnsi="Gill Sans MT" w:cstheme="minorHAnsi"/>
          <w:i/>
          <w:iCs/>
          <w:color w:val="000000" w:themeColor="text1"/>
          <w:sz w:val="22"/>
          <w:szCs w:val="22"/>
        </w:rPr>
        <w:t>Stage</w:t>
      </w:r>
      <w:r w:rsidRPr="00D443CB">
        <w:rPr>
          <w:rFonts w:ascii="Gill Sans MT" w:hAnsi="Gill Sans MT" w:cstheme="minorHAnsi"/>
          <w:color w:val="000000" w:themeColor="text1"/>
          <w:sz w:val="22"/>
          <w:szCs w:val="22"/>
        </w:rPr>
        <w:t xml:space="preserve"> </w:t>
      </w:r>
      <w:r w:rsidRPr="00D443CB">
        <w:rPr>
          <w:rFonts w:ascii="Gill Sans MT" w:hAnsi="Gill Sans MT" w:cstheme="minorHAnsi"/>
          <w:i/>
          <w:iCs/>
          <w:color w:val="000000" w:themeColor="text1"/>
          <w:sz w:val="22"/>
          <w:szCs w:val="22"/>
        </w:rPr>
        <w:t>2</w:t>
      </w:r>
      <w:r w:rsidRPr="00D443CB">
        <w:rPr>
          <w:rFonts w:ascii="Gill Sans MT" w:hAnsi="Gill Sans MT" w:cstheme="minorHAnsi"/>
          <w:color w:val="000000" w:themeColor="text1"/>
          <w:sz w:val="22"/>
          <w:szCs w:val="22"/>
        </w:rPr>
        <w:t>: Moderate level. Listed attributes including inputs and processes needed to build or maintain the diagnostic network.</w:t>
      </w:r>
    </w:p>
    <w:p w14:paraId="6EE13381" w14:textId="77777777" w:rsidR="009472CF" w:rsidRPr="00D443CB" w:rsidRDefault="009472CF" w:rsidP="00FC763C">
      <w:pPr>
        <w:pStyle w:val="ListBullet2"/>
        <w:numPr>
          <w:ilvl w:val="0"/>
          <w:numId w:val="15"/>
        </w:numPr>
        <w:jc w:val="both"/>
        <w:rPr>
          <w:rFonts w:ascii="Gill Sans MT" w:hAnsi="Gill Sans MT" w:cstheme="minorHAnsi"/>
          <w:color w:val="000000" w:themeColor="text1"/>
          <w:sz w:val="22"/>
          <w:szCs w:val="22"/>
        </w:rPr>
      </w:pPr>
      <w:r w:rsidRPr="00D443CB">
        <w:rPr>
          <w:rFonts w:ascii="Gill Sans MT" w:hAnsi="Gill Sans MT" w:cstheme="minorHAnsi"/>
          <w:i/>
          <w:iCs/>
          <w:color w:val="000000" w:themeColor="text1"/>
          <w:sz w:val="22"/>
          <w:szCs w:val="22"/>
        </w:rPr>
        <w:t>Stage</w:t>
      </w:r>
      <w:r w:rsidRPr="00D443CB">
        <w:rPr>
          <w:rFonts w:ascii="Gill Sans MT" w:hAnsi="Gill Sans MT" w:cstheme="minorHAnsi"/>
          <w:color w:val="000000" w:themeColor="text1"/>
          <w:sz w:val="22"/>
          <w:szCs w:val="22"/>
        </w:rPr>
        <w:t xml:space="preserve"> </w:t>
      </w:r>
      <w:r w:rsidRPr="00D443CB">
        <w:rPr>
          <w:rFonts w:ascii="Gill Sans MT" w:hAnsi="Gill Sans MT" w:cstheme="minorHAnsi"/>
          <w:i/>
          <w:iCs/>
          <w:color w:val="000000" w:themeColor="text1"/>
          <w:sz w:val="22"/>
          <w:szCs w:val="22"/>
        </w:rPr>
        <w:t>3</w:t>
      </w:r>
      <w:r w:rsidRPr="00D443CB">
        <w:rPr>
          <w:rFonts w:ascii="Gill Sans MT" w:hAnsi="Gill Sans MT" w:cstheme="minorHAnsi"/>
          <w:color w:val="000000" w:themeColor="text1"/>
          <w:sz w:val="22"/>
          <w:szCs w:val="22"/>
        </w:rPr>
        <w:t>: Strong technical or managerial or organizational capacity and a high level of performance of the diagnostic network with defined public health output and outcomes.</w:t>
      </w:r>
    </w:p>
    <w:p w14:paraId="5081CFB4" w14:textId="77777777" w:rsidR="009472CF" w:rsidRPr="00D443CB" w:rsidRDefault="009472CF" w:rsidP="00FC763C">
      <w:pPr>
        <w:pStyle w:val="ListBullet2"/>
        <w:numPr>
          <w:ilvl w:val="0"/>
          <w:numId w:val="15"/>
        </w:numPr>
        <w:jc w:val="both"/>
        <w:rPr>
          <w:rFonts w:ascii="Gill Sans MT" w:hAnsi="Gill Sans MT" w:cstheme="minorHAnsi"/>
          <w:color w:val="000000" w:themeColor="text1"/>
          <w:sz w:val="22"/>
          <w:szCs w:val="22"/>
        </w:rPr>
      </w:pPr>
      <w:r w:rsidRPr="00D443CB">
        <w:rPr>
          <w:rFonts w:ascii="Gill Sans MT" w:hAnsi="Gill Sans MT" w:cstheme="minorHAnsi"/>
          <w:i/>
          <w:iCs/>
          <w:color w:val="000000" w:themeColor="text1"/>
          <w:sz w:val="22"/>
          <w:szCs w:val="22"/>
        </w:rPr>
        <w:t>Stage</w:t>
      </w:r>
      <w:r w:rsidRPr="00D443CB">
        <w:rPr>
          <w:rFonts w:ascii="Gill Sans MT" w:hAnsi="Gill Sans MT" w:cstheme="minorHAnsi"/>
          <w:color w:val="000000" w:themeColor="text1"/>
          <w:sz w:val="22"/>
          <w:szCs w:val="22"/>
        </w:rPr>
        <w:t xml:space="preserve"> </w:t>
      </w:r>
      <w:r w:rsidRPr="00D443CB">
        <w:rPr>
          <w:rFonts w:ascii="Gill Sans MT" w:hAnsi="Gill Sans MT" w:cstheme="minorHAnsi"/>
          <w:i/>
          <w:iCs/>
          <w:color w:val="000000" w:themeColor="text1"/>
          <w:sz w:val="22"/>
          <w:szCs w:val="22"/>
        </w:rPr>
        <w:t>4</w:t>
      </w:r>
      <w:r w:rsidRPr="00D443CB">
        <w:rPr>
          <w:rFonts w:ascii="Gill Sans MT" w:hAnsi="Gill Sans MT" w:cstheme="minorHAnsi"/>
          <w:b/>
          <w:bCs/>
          <w:color w:val="000000" w:themeColor="text1"/>
          <w:sz w:val="22"/>
          <w:szCs w:val="22"/>
        </w:rPr>
        <w:t>:</w:t>
      </w:r>
      <w:r w:rsidRPr="00D443CB">
        <w:rPr>
          <w:rFonts w:ascii="Gill Sans MT" w:hAnsi="Gill Sans MT" w:cstheme="minorHAnsi"/>
          <w:color w:val="000000" w:themeColor="text1"/>
          <w:sz w:val="22"/>
          <w:szCs w:val="22"/>
        </w:rPr>
        <w:t xml:space="preserve"> Advanced level. Performance of the network is continuously measured and achieves national standards of capability.</w:t>
      </w:r>
    </w:p>
    <w:p w14:paraId="1F09FF57" w14:textId="77777777" w:rsidR="009472CF" w:rsidRPr="00D443CB" w:rsidRDefault="009472CF" w:rsidP="00FC763C">
      <w:pPr>
        <w:pStyle w:val="ListBullet2"/>
        <w:numPr>
          <w:ilvl w:val="0"/>
          <w:numId w:val="15"/>
        </w:numPr>
        <w:jc w:val="both"/>
        <w:rPr>
          <w:rFonts w:ascii="Gill Sans MT" w:hAnsi="Gill Sans MT" w:cstheme="minorHAnsi"/>
          <w:color w:val="000000" w:themeColor="text1"/>
          <w:sz w:val="22"/>
          <w:szCs w:val="22"/>
        </w:rPr>
      </w:pPr>
      <w:r w:rsidRPr="00D443CB">
        <w:rPr>
          <w:rFonts w:ascii="Gill Sans MT" w:hAnsi="Gill Sans MT" w:cstheme="minorHAnsi"/>
          <w:i/>
          <w:iCs/>
          <w:color w:val="000000" w:themeColor="text1"/>
          <w:sz w:val="22"/>
          <w:szCs w:val="22"/>
        </w:rPr>
        <w:t>Stage 5</w:t>
      </w:r>
      <w:r w:rsidRPr="00D443CB">
        <w:rPr>
          <w:rFonts w:ascii="Gill Sans MT" w:hAnsi="Gill Sans MT" w:cstheme="minorHAnsi"/>
          <w:color w:val="000000" w:themeColor="text1"/>
          <w:sz w:val="22"/>
          <w:szCs w:val="22"/>
        </w:rPr>
        <w:t>: Attainment of international standards. Systems of revision are in place for continuously improving the diagnostic network.</w:t>
      </w:r>
    </w:p>
    <w:p w14:paraId="5D956300" w14:textId="77777777" w:rsidR="009472CF" w:rsidRPr="00D443CB" w:rsidRDefault="009472CF" w:rsidP="008F79FE">
      <w:pPr>
        <w:widowControl w:val="0"/>
        <w:autoSpaceDE w:val="0"/>
        <w:autoSpaceDN w:val="0"/>
        <w:adjustRightInd w:val="0"/>
        <w:spacing w:after="0" w:line="240" w:lineRule="auto"/>
        <w:jc w:val="both"/>
        <w:rPr>
          <w:rFonts w:ascii="Gill Sans MT" w:hAnsi="Gill Sans MT"/>
        </w:rPr>
      </w:pPr>
    </w:p>
    <w:p w14:paraId="3923063F" w14:textId="0C1AB033" w:rsidR="004B0776" w:rsidRPr="00D443CB" w:rsidRDefault="009472CF" w:rsidP="008F79FE">
      <w:pPr>
        <w:widowControl w:val="0"/>
        <w:autoSpaceDE w:val="0"/>
        <w:autoSpaceDN w:val="0"/>
        <w:adjustRightInd w:val="0"/>
        <w:spacing w:after="0" w:line="240" w:lineRule="auto"/>
        <w:jc w:val="both"/>
        <w:rPr>
          <w:rFonts w:ascii="Gill Sans MT" w:hAnsi="Gill Sans MT"/>
        </w:rPr>
      </w:pPr>
      <w:r w:rsidRPr="00D443CB">
        <w:rPr>
          <w:rFonts w:ascii="Gill Sans MT" w:hAnsi="Gill Sans MT"/>
        </w:rPr>
        <w:t xml:space="preserve">The questions </w:t>
      </w:r>
      <w:r w:rsidR="003B05A8" w:rsidRPr="00D443CB">
        <w:rPr>
          <w:rFonts w:ascii="Gill Sans MT" w:hAnsi="Gill Sans MT"/>
        </w:rPr>
        <w:t xml:space="preserve">and </w:t>
      </w:r>
      <w:r w:rsidR="00983AA3" w:rsidRPr="00D443CB">
        <w:rPr>
          <w:rFonts w:ascii="Gill Sans MT" w:hAnsi="Gill Sans MT"/>
        </w:rPr>
        <w:t>rel</w:t>
      </w:r>
      <w:r w:rsidR="00CD53E2" w:rsidRPr="00D443CB">
        <w:rPr>
          <w:rFonts w:ascii="Gill Sans MT" w:hAnsi="Gill Sans MT"/>
        </w:rPr>
        <w:t>evant</w:t>
      </w:r>
      <w:r w:rsidR="00983AA3" w:rsidRPr="00D443CB">
        <w:rPr>
          <w:rFonts w:ascii="Gill Sans MT" w:hAnsi="Gill Sans MT"/>
        </w:rPr>
        <w:t xml:space="preserve"> </w:t>
      </w:r>
      <w:r w:rsidR="003B05A8" w:rsidRPr="00D443CB">
        <w:rPr>
          <w:rFonts w:ascii="Gill Sans MT" w:hAnsi="Gill Sans MT"/>
        </w:rPr>
        <w:t xml:space="preserve">background information </w:t>
      </w:r>
      <w:r w:rsidR="00F51191" w:rsidRPr="00D443CB">
        <w:rPr>
          <w:rFonts w:ascii="Gill Sans MT" w:hAnsi="Gill Sans MT"/>
        </w:rPr>
        <w:t xml:space="preserve">are found in Annex </w:t>
      </w:r>
      <w:r w:rsidR="00AA25E2" w:rsidRPr="00D443CB">
        <w:rPr>
          <w:rFonts w:ascii="Gill Sans MT" w:hAnsi="Gill Sans MT"/>
        </w:rPr>
        <w:t xml:space="preserve">1 </w:t>
      </w:r>
      <w:r w:rsidR="00F51191" w:rsidRPr="00D443CB">
        <w:rPr>
          <w:rFonts w:ascii="Gill Sans MT" w:hAnsi="Gill Sans MT"/>
        </w:rPr>
        <w:t xml:space="preserve">and are </w:t>
      </w:r>
      <w:r w:rsidR="003B05A8" w:rsidRPr="00D443CB">
        <w:rPr>
          <w:rFonts w:ascii="Gill Sans MT" w:hAnsi="Gill Sans MT"/>
        </w:rPr>
        <w:t>organized by</w:t>
      </w:r>
      <w:r w:rsidRPr="00D443CB">
        <w:rPr>
          <w:rFonts w:ascii="Gill Sans MT" w:hAnsi="Gill Sans MT"/>
        </w:rPr>
        <w:t xml:space="preserve"> core capacity and associated components used in the assessment.</w:t>
      </w:r>
      <w:r w:rsidR="004B0776" w:rsidRPr="00D443CB">
        <w:rPr>
          <w:rFonts w:ascii="Gill Sans MT" w:hAnsi="Gill Sans MT"/>
        </w:rPr>
        <w:t xml:space="preserve"> </w:t>
      </w:r>
      <w:r w:rsidR="004B0776" w:rsidRPr="00D443CB">
        <w:rPr>
          <w:rFonts w:ascii="Gill Sans MT" w:hAnsi="Gill Sans MT" w:cs="Calibri"/>
        </w:rPr>
        <w:t>Each question is graded from 0 to 5 based on the pre-defined answer</w:t>
      </w:r>
      <w:r w:rsidR="00271C6F" w:rsidRPr="00D443CB">
        <w:rPr>
          <w:rFonts w:ascii="Gill Sans MT" w:hAnsi="Gill Sans MT" w:cs="Calibri"/>
        </w:rPr>
        <w:t>s</w:t>
      </w:r>
      <w:r w:rsidR="004B0776" w:rsidRPr="00D443CB">
        <w:rPr>
          <w:rFonts w:ascii="Gill Sans MT" w:hAnsi="Gill Sans MT" w:cs="Calibri"/>
        </w:rPr>
        <w:t xml:space="preserve"> that</w:t>
      </w:r>
      <w:r w:rsidR="00322526" w:rsidRPr="00D443CB">
        <w:rPr>
          <w:rFonts w:ascii="Gill Sans MT" w:hAnsi="Gill Sans MT" w:cs="Calibri"/>
        </w:rPr>
        <w:t xml:space="preserve"> are</w:t>
      </w:r>
      <w:r w:rsidR="004B0776" w:rsidRPr="00D443CB">
        <w:rPr>
          <w:rFonts w:ascii="Gill Sans MT" w:hAnsi="Gill Sans MT" w:cs="Calibri"/>
        </w:rPr>
        <w:t xml:space="preserve"> provided. There is no possibility for yes or no answers. All questions need to be </w:t>
      </w:r>
      <w:r w:rsidR="0057566A" w:rsidRPr="00D443CB">
        <w:rPr>
          <w:rFonts w:ascii="Gill Sans MT" w:hAnsi="Gill Sans MT" w:cs="Calibri"/>
        </w:rPr>
        <w:t>evaluated</w:t>
      </w:r>
      <w:r w:rsidR="004B0776" w:rsidRPr="00D443CB">
        <w:rPr>
          <w:rFonts w:ascii="Gill Sans MT" w:hAnsi="Gill Sans MT" w:cs="Calibri"/>
        </w:rPr>
        <w:t xml:space="preserve"> in order to</w:t>
      </w:r>
      <w:r w:rsidR="005253E2" w:rsidRPr="00D443CB">
        <w:rPr>
          <w:rFonts w:ascii="Gill Sans MT" w:hAnsi="Gill Sans MT" w:cs="Calibri"/>
        </w:rPr>
        <w:t xml:space="preserve"> proceed to the final analyses.</w:t>
      </w:r>
    </w:p>
    <w:p w14:paraId="2B06F69E" w14:textId="77777777" w:rsidR="00DD2EA2" w:rsidRPr="00D443CB" w:rsidRDefault="00DD2EA2">
      <w:pPr>
        <w:widowControl w:val="0"/>
        <w:autoSpaceDE w:val="0"/>
        <w:autoSpaceDN w:val="0"/>
        <w:adjustRightInd w:val="0"/>
        <w:spacing w:after="0" w:line="240" w:lineRule="auto"/>
        <w:jc w:val="both"/>
        <w:rPr>
          <w:rFonts w:ascii="Gill Sans MT" w:hAnsi="Gill Sans MT" w:cs="Calibri"/>
        </w:rPr>
      </w:pPr>
    </w:p>
    <w:p w14:paraId="6F0123D3" w14:textId="77777777" w:rsidR="004B0776" w:rsidRPr="00D443CB" w:rsidRDefault="004B0776" w:rsidP="008F79FE">
      <w:pPr>
        <w:pStyle w:val="Heading2"/>
        <w:jc w:val="both"/>
        <w:rPr>
          <w:rFonts w:ascii="Gill Sans MT" w:hAnsi="Gill Sans MT" w:cstheme="minorHAnsi"/>
          <w:color w:val="000000" w:themeColor="text1"/>
        </w:rPr>
      </w:pPr>
      <w:bookmarkStart w:id="20" w:name="_Toc37317821"/>
      <w:r w:rsidRPr="00D443CB">
        <w:rPr>
          <w:rFonts w:ascii="Gill Sans MT" w:hAnsi="Gill Sans MT" w:cstheme="minorHAnsi"/>
          <w:bCs/>
          <w:color w:val="000000" w:themeColor="text1"/>
        </w:rPr>
        <w:t>Determining the capability stage and progress towards achieving core capacities</w:t>
      </w:r>
      <w:bookmarkEnd w:id="20"/>
    </w:p>
    <w:p w14:paraId="4B159293" w14:textId="082E3EBC" w:rsidR="004B4A80" w:rsidRPr="00D443CB" w:rsidRDefault="004B0776" w:rsidP="008F79FE">
      <w:pPr>
        <w:spacing w:after="0" w:line="240" w:lineRule="auto"/>
        <w:jc w:val="both"/>
        <w:rPr>
          <w:rFonts w:ascii="Gill Sans MT" w:hAnsi="Gill Sans MT"/>
        </w:rPr>
      </w:pPr>
      <w:r w:rsidRPr="00D443CB">
        <w:rPr>
          <w:rFonts w:ascii="Gill Sans MT" w:hAnsi="Gill Sans MT"/>
        </w:rPr>
        <w:t xml:space="preserve">A capability stage </w:t>
      </w:r>
      <w:r w:rsidR="00EE7203" w:rsidRPr="00D443CB">
        <w:rPr>
          <w:rFonts w:ascii="Gill Sans MT" w:hAnsi="Gill Sans MT"/>
        </w:rPr>
        <w:t xml:space="preserve">(Figure </w:t>
      </w:r>
      <w:r w:rsidR="00855F2B" w:rsidRPr="00D443CB">
        <w:rPr>
          <w:rFonts w:ascii="Gill Sans MT" w:hAnsi="Gill Sans MT"/>
        </w:rPr>
        <w:t>2</w:t>
      </w:r>
      <w:r w:rsidR="00EE7203" w:rsidRPr="00D443CB">
        <w:rPr>
          <w:rFonts w:ascii="Gill Sans MT" w:hAnsi="Gill Sans MT"/>
        </w:rPr>
        <w:t xml:space="preserve">) </w:t>
      </w:r>
      <w:r w:rsidRPr="00D443CB">
        <w:rPr>
          <w:rFonts w:ascii="Gill Sans MT" w:hAnsi="Gill Sans MT"/>
        </w:rPr>
        <w:t xml:space="preserve">is determined for every </w:t>
      </w:r>
      <w:r w:rsidR="001948B6" w:rsidRPr="00D443CB">
        <w:rPr>
          <w:rFonts w:ascii="Gill Sans MT" w:hAnsi="Gill Sans MT"/>
        </w:rPr>
        <w:t>‘</w:t>
      </w:r>
      <w:r w:rsidRPr="00D443CB">
        <w:rPr>
          <w:rFonts w:ascii="Gill Sans MT" w:hAnsi="Gill Sans MT"/>
        </w:rPr>
        <w:t>question</w:t>
      </w:r>
      <w:r w:rsidR="001948B6" w:rsidRPr="00D443CB">
        <w:rPr>
          <w:rFonts w:ascii="Gill Sans MT" w:hAnsi="Gill Sans MT"/>
        </w:rPr>
        <w:t>’</w:t>
      </w:r>
      <w:r w:rsidRPr="00D443CB">
        <w:rPr>
          <w:rFonts w:ascii="Gill Sans MT" w:hAnsi="Gill Sans MT"/>
        </w:rPr>
        <w:t xml:space="preserve"> of a component</w:t>
      </w:r>
      <w:r w:rsidR="00A311B1" w:rsidRPr="00D443CB">
        <w:rPr>
          <w:rFonts w:ascii="Gill Sans MT" w:hAnsi="Gill Sans MT"/>
        </w:rPr>
        <w:t xml:space="preserve"> by reviewing applicable documents (e.g., policies, guidelines, SOPs) and data; interviewing program, clinical or laboratory staff; or direct observation. Many questions can be evaluated by reviewing documents (e.g., the NSP) at the national level. Stages for other questions (e.g., Are SOPs followed at all levels of the diagnostic network?) are assessed during ‘verification’ visits to national (NRL), intermediate (IRL) and peripheral laboratories (PL) and during interviews with national, intermediate and peripheral program staff. The purpose, background information, and source of verification for each question</w:t>
      </w:r>
      <w:r w:rsidR="004B4A80" w:rsidRPr="00D443CB">
        <w:rPr>
          <w:rFonts w:ascii="Gill Sans MT" w:hAnsi="Gill Sans MT"/>
        </w:rPr>
        <w:t xml:space="preserve"> are described</w:t>
      </w:r>
      <w:r w:rsidR="00A311B1" w:rsidRPr="00D443CB">
        <w:rPr>
          <w:rFonts w:ascii="Gill Sans MT" w:hAnsi="Gill Sans MT"/>
        </w:rPr>
        <w:t xml:space="preserve"> in Annex 1.</w:t>
      </w:r>
      <w:r w:rsidR="004B4A80" w:rsidRPr="00D443CB">
        <w:rPr>
          <w:rFonts w:ascii="Gill Sans MT" w:hAnsi="Gill Sans MT"/>
        </w:rPr>
        <w:t xml:space="preserve"> A checklist of standardized questions (Annex </w:t>
      </w:r>
      <w:r w:rsidR="00F86085" w:rsidRPr="00D443CB">
        <w:rPr>
          <w:rFonts w:ascii="Gill Sans MT" w:hAnsi="Gill Sans MT"/>
        </w:rPr>
        <w:t>6</w:t>
      </w:r>
      <w:r w:rsidR="004B4A80" w:rsidRPr="00D443CB">
        <w:rPr>
          <w:rFonts w:ascii="Gill Sans MT" w:hAnsi="Gill Sans MT"/>
        </w:rPr>
        <w:t xml:space="preserve">) is used during verification visits to focus the visit on assessing the network and to avoid the visit becoming an assessment of a laboratory’s performance. </w:t>
      </w:r>
    </w:p>
    <w:p w14:paraId="73BA5C14" w14:textId="5563183D" w:rsidR="004B0776" w:rsidRPr="00D443CB" w:rsidRDefault="004B0776" w:rsidP="003F0903">
      <w:pPr>
        <w:widowControl w:val="0"/>
        <w:autoSpaceDE w:val="0"/>
        <w:autoSpaceDN w:val="0"/>
        <w:adjustRightInd w:val="0"/>
        <w:spacing w:after="0" w:line="240" w:lineRule="auto"/>
        <w:ind w:right="3053"/>
        <w:rPr>
          <w:rFonts w:ascii="Gill Sans MT" w:hAnsi="Gill Sans MT" w:cs="Calibri"/>
        </w:rPr>
      </w:pPr>
    </w:p>
    <w:tbl>
      <w:tblPr>
        <w:tblW w:w="10556" w:type="dxa"/>
        <w:jc w:val="center"/>
        <w:tblLayout w:type="fixed"/>
        <w:tblLook w:val="04A0" w:firstRow="1" w:lastRow="0" w:firstColumn="1" w:lastColumn="0" w:noHBand="0" w:noVBand="1"/>
      </w:tblPr>
      <w:tblGrid>
        <w:gridCol w:w="665"/>
        <w:gridCol w:w="6372"/>
        <w:gridCol w:w="570"/>
        <w:gridCol w:w="570"/>
        <w:gridCol w:w="570"/>
        <w:gridCol w:w="665"/>
        <w:gridCol w:w="570"/>
        <w:gridCol w:w="574"/>
      </w:tblGrid>
      <w:tr w:rsidR="005E2423" w:rsidRPr="00D443CB" w14:paraId="1F44C28F" w14:textId="77777777" w:rsidTr="00CE2E64">
        <w:trPr>
          <w:trHeight w:val="219"/>
          <w:jc w:val="center"/>
        </w:trPr>
        <w:tc>
          <w:tcPr>
            <w:tcW w:w="10556" w:type="dxa"/>
            <w:gridSpan w:val="8"/>
            <w:tcBorders>
              <w:top w:val="single" w:sz="4" w:space="0" w:color="auto"/>
              <w:left w:val="single" w:sz="4" w:space="0" w:color="auto"/>
              <w:bottom w:val="single" w:sz="4" w:space="0" w:color="auto"/>
              <w:right w:val="single" w:sz="4" w:space="0" w:color="auto"/>
            </w:tcBorders>
            <w:shd w:val="clear" w:color="auto" w:fill="00FFFF"/>
            <w:noWrap/>
            <w:vAlign w:val="center"/>
          </w:tcPr>
          <w:p w14:paraId="5957FAFE" w14:textId="77777777" w:rsidR="005E2423" w:rsidRPr="00D443CB" w:rsidRDefault="005E2423" w:rsidP="005E2423">
            <w:pPr>
              <w:spacing w:after="0" w:line="240" w:lineRule="auto"/>
              <w:jc w:val="center"/>
              <w:rPr>
                <w:rFonts w:ascii="Gill Sans MT" w:hAnsi="Gill Sans MT" w:cs="Calibri"/>
                <w:b/>
                <w:bCs/>
                <w:sz w:val="20"/>
                <w:szCs w:val="20"/>
              </w:rPr>
            </w:pPr>
            <w:bookmarkStart w:id="21" w:name="_Hlk22734919"/>
            <w:r w:rsidRPr="00D443CB">
              <w:rPr>
                <w:rFonts w:ascii="Gill Sans MT" w:hAnsi="Gill Sans MT" w:cs="Calibri"/>
                <w:b/>
                <w:bCs/>
                <w:sz w:val="20"/>
                <w:szCs w:val="20"/>
              </w:rPr>
              <w:lastRenderedPageBreak/>
              <w:t>Core Capacity 4. Diagnostic Algorithm</w:t>
            </w:r>
          </w:p>
        </w:tc>
      </w:tr>
      <w:tr w:rsidR="005E2423" w:rsidRPr="00D443CB" w14:paraId="5349E71B" w14:textId="77777777" w:rsidTr="00CE2E64">
        <w:trPr>
          <w:trHeight w:val="230"/>
          <w:jc w:val="center"/>
        </w:trPr>
        <w:tc>
          <w:tcPr>
            <w:tcW w:w="665" w:type="dxa"/>
            <w:tcBorders>
              <w:top w:val="single" w:sz="4" w:space="0" w:color="auto"/>
              <w:left w:val="single" w:sz="4" w:space="0" w:color="auto"/>
              <w:right w:val="single" w:sz="4" w:space="0" w:color="auto"/>
            </w:tcBorders>
            <w:shd w:val="clear" w:color="000000" w:fill="D9D9D9"/>
            <w:noWrap/>
            <w:vAlign w:val="center"/>
            <w:hideMark/>
          </w:tcPr>
          <w:p w14:paraId="2BE8AB16" w14:textId="77777777" w:rsidR="005E2423" w:rsidRPr="00D443CB" w:rsidRDefault="005E2423" w:rsidP="005E2423">
            <w:pPr>
              <w:spacing w:after="0" w:line="240" w:lineRule="auto"/>
              <w:jc w:val="center"/>
              <w:rPr>
                <w:rFonts w:ascii="Gill Sans MT" w:hAnsi="Gill Sans MT"/>
                <w:b/>
                <w:bCs/>
                <w:sz w:val="20"/>
                <w:szCs w:val="20"/>
              </w:rPr>
            </w:pPr>
            <w:r w:rsidRPr="00D443CB">
              <w:rPr>
                <w:rFonts w:ascii="Gill Sans MT" w:hAnsi="Gill Sans MT"/>
                <w:b/>
                <w:bCs/>
                <w:sz w:val="20"/>
                <w:szCs w:val="20"/>
              </w:rPr>
              <w:t>No.</w:t>
            </w:r>
          </w:p>
        </w:tc>
        <w:tc>
          <w:tcPr>
            <w:tcW w:w="6371" w:type="dxa"/>
            <w:tcBorders>
              <w:top w:val="single" w:sz="4" w:space="0" w:color="auto"/>
              <w:left w:val="single" w:sz="4" w:space="0" w:color="auto"/>
              <w:right w:val="single" w:sz="4" w:space="0" w:color="auto"/>
            </w:tcBorders>
            <w:shd w:val="clear" w:color="000000" w:fill="D9D9D9"/>
            <w:vAlign w:val="center"/>
          </w:tcPr>
          <w:p w14:paraId="17F83B3E" w14:textId="77777777" w:rsidR="005E2423" w:rsidRPr="00D443CB" w:rsidRDefault="005E2423" w:rsidP="005E2423">
            <w:pPr>
              <w:spacing w:after="0" w:line="240" w:lineRule="auto"/>
              <w:jc w:val="center"/>
              <w:rPr>
                <w:rFonts w:ascii="Gill Sans MT" w:hAnsi="Gill Sans MT"/>
                <w:b/>
                <w:bCs/>
                <w:sz w:val="20"/>
                <w:szCs w:val="20"/>
              </w:rPr>
            </w:pPr>
            <w:r w:rsidRPr="00D443CB">
              <w:rPr>
                <w:rFonts w:ascii="Gill Sans MT" w:hAnsi="Gill Sans MT"/>
                <w:b/>
                <w:bCs/>
                <w:sz w:val="20"/>
                <w:szCs w:val="20"/>
              </w:rPr>
              <w:t>Questions</w:t>
            </w:r>
          </w:p>
        </w:tc>
        <w:tc>
          <w:tcPr>
            <w:tcW w:w="3518" w:type="dxa"/>
            <w:gridSpan w:val="6"/>
            <w:tcBorders>
              <w:top w:val="single" w:sz="4" w:space="0" w:color="auto"/>
              <w:left w:val="nil"/>
              <w:bottom w:val="single" w:sz="4" w:space="0" w:color="auto"/>
              <w:right w:val="single" w:sz="4" w:space="0" w:color="auto"/>
            </w:tcBorders>
            <w:shd w:val="clear" w:color="auto" w:fill="D9D9D9" w:themeFill="background1" w:themeFillShade="D9"/>
            <w:vAlign w:val="center"/>
          </w:tcPr>
          <w:p w14:paraId="2905819B" w14:textId="77777777" w:rsidR="005E2423" w:rsidRPr="00D443CB" w:rsidRDefault="005E2423" w:rsidP="005E2423">
            <w:pPr>
              <w:spacing w:after="0" w:line="240" w:lineRule="auto"/>
              <w:jc w:val="center"/>
              <w:rPr>
                <w:rFonts w:ascii="Gill Sans MT" w:hAnsi="Gill Sans MT"/>
                <w:b/>
                <w:bCs/>
                <w:sz w:val="20"/>
                <w:szCs w:val="20"/>
              </w:rPr>
            </w:pPr>
            <w:r w:rsidRPr="00D443CB">
              <w:rPr>
                <w:rFonts w:ascii="Gill Sans MT" w:hAnsi="Gill Sans MT"/>
                <w:b/>
                <w:bCs/>
                <w:sz w:val="20"/>
                <w:szCs w:val="20"/>
              </w:rPr>
              <w:t>Stage</w:t>
            </w:r>
          </w:p>
        </w:tc>
      </w:tr>
      <w:tr w:rsidR="005E2423" w:rsidRPr="00D443CB" w14:paraId="629C1448" w14:textId="77777777" w:rsidTr="00CE2E64">
        <w:trPr>
          <w:trHeight w:val="219"/>
          <w:jc w:val="center"/>
        </w:trPr>
        <w:tc>
          <w:tcPr>
            <w:tcW w:w="7037" w:type="dxa"/>
            <w:gridSpan w:val="2"/>
            <w:tcBorders>
              <w:top w:val="nil"/>
              <w:left w:val="single" w:sz="4" w:space="0" w:color="auto"/>
              <w:bottom w:val="single" w:sz="4" w:space="0" w:color="auto"/>
              <w:right w:val="single" w:sz="4" w:space="0" w:color="auto"/>
            </w:tcBorders>
            <w:shd w:val="clear" w:color="auto" w:fill="66FFFF"/>
            <w:vAlign w:val="center"/>
            <w:hideMark/>
          </w:tcPr>
          <w:p w14:paraId="5533E1CE" w14:textId="77777777" w:rsidR="005E2423" w:rsidRPr="00D443CB" w:rsidRDefault="005E2423" w:rsidP="005E2423">
            <w:pPr>
              <w:spacing w:after="0" w:line="240" w:lineRule="auto"/>
              <w:rPr>
                <w:rFonts w:ascii="Gill Sans MT" w:hAnsi="Gill Sans MT"/>
                <w:sz w:val="20"/>
                <w:szCs w:val="20"/>
              </w:rPr>
            </w:pPr>
            <w:r w:rsidRPr="00D443CB">
              <w:rPr>
                <w:rFonts w:ascii="Gill Sans MT" w:hAnsi="Gill Sans MT"/>
                <w:b/>
                <w:bCs/>
                <w:color w:val="000000"/>
                <w:sz w:val="20"/>
                <w:szCs w:val="20"/>
              </w:rPr>
              <w:t>Component 4.1. Algorithm</w:t>
            </w:r>
            <w:r w:rsidRPr="00D443CB">
              <w:rPr>
                <w:rFonts w:ascii="Gill Sans MT" w:hAnsi="Gill Sans MT"/>
                <w:sz w:val="20"/>
                <w:szCs w:val="20"/>
              </w:rPr>
              <w:t> </w:t>
            </w:r>
          </w:p>
        </w:tc>
        <w:tc>
          <w:tcPr>
            <w:tcW w:w="570" w:type="dxa"/>
            <w:tcBorders>
              <w:top w:val="nil"/>
              <w:left w:val="nil"/>
              <w:bottom w:val="single" w:sz="4" w:space="0" w:color="auto"/>
              <w:right w:val="single" w:sz="4" w:space="0" w:color="auto"/>
            </w:tcBorders>
            <w:shd w:val="clear" w:color="000000" w:fill="000000" w:themeFill="text1"/>
            <w:vAlign w:val="center"/>
            <w:hideMark/>
          </w:tcPr>
          <w:p w14:paraId="426A845C" w14:textId="77777777" w:rsidR="005E2423" w:rsidRPr="00D443CB" w:rsidRDefault="005E2423" w:rsidP="005E2423">
            <w:pPr>
              <w:spacing w:after="0" w:line="240" w:lineRule="auto"/>
              <w:jc w:val="center"/>
              <w:rPr>
                <w:rFonts w:ascii="Gill Sans MT" w:hAnsi="Gill Sans MT"/>
                <w:sz w:val="20"/>
                <w:szCs w:val="20"/>
              </w:rPr>
            </w:pPr>
            <w:r w:rsidRPr="00D443CB">
              <w:rPr>
                <w:rFonts w:ascii="Gill Sans MT" w:hAnsi="Gill Sans MT"/>
                <w:b/>
                <w:bCs/>
                <w:color w:val="FFFFFF"/>
                <w:sz w:val="20"/>
                <w:szCs w:val="20"/>
              </w:rPr>
              <w:t>0</w:t>
            </w:r>
          </w:p>
        </w:tc>
        <w:tc>
          <w:tcPr>
            <w:tcW w:w="570" w:type="dxa"/>
            <w:tcBorders>
              <w:top w:val="nil"/>
              <w:left w:val="nil"/>
              <w:bottom w:val="single" w:sz="4" w:space="0" w:color="auto"/>
              <w:right w:val="single" w:sz="4" w:space="0" w:color="auto"/>
            </w:tcBorders>
            <w:shd w:val="clear" w:color="auto" w:fill="FF0000"/>
            <w:vAlign w:val="center"/>
            <w:hideMark/>
          </w:tcPr>
          <w:p w14:paraId="0B64A62D" w14:textId="77777777" w:rsidR="005E2423" w:rsidRPr="00D443CB" w:rsidRDefault="005E2423" w:rsidP="005E2423">
            <w:pPr>
              <w:spacing w:after="0" w:line="240" w:lineRule="auto"/>
              <w:jc w:val="center"/>
              <w:rPr>
                <w:rFonts w:ascii="Gill Sans MT" w:hAnsi="Gill Sans MT"/>
                <w:b/>
                <w:sz w:val="20"/>
                <w:szCs w:val="20"/>
              </w:rPr>
            </w:pPr>
            <w:r w:rsidRPr="00D443CB">
              <w:rPr>
                <w:rFonts w:ascii="Gill Sans MT" w:hAnsi="Gill Sans MT"/>
                <w:b/>
                <w:bCs/>
                <w:sz w:val="20"/>
                <w:szCs w:val="20"/>
              </w:rPr>
              <w:t>1</w:t>
            </w:r>
          </w:p>
        </w:tc>
        <w:tc>
          <w:tcPr>
            <w:tcW w:w="570" w:type="dxa"/>
            <w:tcBorders>
              <w:top w:val="nil"/>
              <w:left w:val="nil"/>
              <w:bottom w:val="single" w:sz="4" w:space="0" w:color="auto"/>
              <w:right w:val="single" w:sz="4" w:space="0" w:color="auto"/>
            </w:tcBorders>
            <w:shd w:val="clear" w:color="auto" w:fill="FFC000"/>
            <w:vAlign w:val="center"/>
            <w:hideMark/>
          </w:tcPr>
          <w:p w14:paraId="2F47BD47" w14:textId="77777777" w:rsidR="005E2423" w:rsidRPr="00D443CB" w:rsidRDefault="005E2423" w:rsidP="005E2423">
            <w:pPr>
              <w:spacing w:after="0" w:line="240" w:lineRule="auto"/>
              <w:jc w:val="center"/>
              <w:rPr>
                <w:rFonts w:ascii="Gill Sans MT" w:hAnsi="Gill Sans MT"/>
                <w:sz w:val="20"/>
                <w:szCs w:val="20"/>
              </w:rPr>
            </w:pPr>
            <w:r w:rsidRPr="00D443CB">
              <w:rPr>
                <w:rFonts w:ascii="Gill Sans MT" w:hAnsi="Gill Sans MT"/>
                <w:b/>
                <w:bCs/>
                <w:sz w:val="20"/>
                <w:szCs w:val="20"/>
              </w:rPr>
              <w:t>2</w:t>
            </w:r>
          </w:p>
        </w:tc>
        <w:tc>
          <w:tcPr>
            <w:tcW w:w="665" w:type="dxa"/>
            <w:tcBorders>
              <w:top w:val="nil"/>
              <w:left w:val="nil"/>
              <w:bottom w:val="single" w:sz="4" w:space="0" w:color="auto"/>
              <w:right w:val="single" w:sz="4" w:space="0" w:color="auto"/>
            </w:tcBorders>
            <w:shd w:val="clear" w:color="000000" w:fill="FFFF00"/>
            <w:vAlign w:val="center"/>
            <w:hideMark/>
          </w:tcPr>
          <w:p w14:paraId="6E3517B8" w14:textId="77777777" w:rsidR="005E2423" w:rsidRPr="00D443CB" w:rsidRDefault="005E2423" w:rsidP="005E2423">
            <w:pPr>
              <w:spacing w:after="0" w:line="240" w:lineRule="auto"/>
              <w:jc w:val="center"/>
              <w:rPr>
                <w:rFonts w:ascii="Gill Sans MT" w:hAnsi="Gill Sans MT"/>
                <w:sz w:val="20"/>
                <w:szCs w:val="20"/>
              </w:rPr>
            </w:pPr>
            <w:r w:rsidRPr="00D443CB">
              <w:rPr>
                <w:rFonts w:ascii="Gill Sans MT" w:hAnsi="Gill Sans MT"/>
                <w:b/>
                <w:bCs/>
                <w:sz w:val="20"/>
                <w:szCs w:val="20"/>
              </w:rPr>
              <w:t>3</w:t>
            </w:r>
          </w:p>
        </w:tc>
        <w:tc>
          <w:tcPr>
            <w:tcW w:w="570" w:type="dxa"/>
            <w:tcBorders>
              <w:top w:val="nil"/>
              <w:left w:val="nil"/>
              <w:bottom w:val="single" w:sz="4" w:space="0" w:color="auto"/>
              <w:right w:val="single" w:sz="4" w:space="0" w:color="auto"/>
            </w:tcBorders>
            <w:shd w:val="clear" w:color="000000" w:fill="00B050"/>
            <w:vAlign w:val="center"/>
            <w:hideMark/>
          </w:tcPr>
          <w:p w14:paraId="05DBE043" w14:textId="77777777" w:rsidR="005E2423" w:rsidRPr="00D443CB" w:rsidRDefault="005E2423" w:rsidP="005E2423">
            <w:pPr>
              <w:spacing w:after="0" w:line="240" w:lineRule="auto"/>
              <w:jc w:val="center"/>
              <w:rPr>
                <w:rFonts w:ascii="Gill Sans MT" w:hAnsi="Gill Sans MT"/>
                <w:sz w:val="20"/>
                <w:szCs w:val="20"/>
              </w:rPr>
            </w:pPr>
            <w:r w:rsidRPr="00D443CB">
              <w:rPr>
                <w:rFonts w:ascii="Gill Sans MT" w:hAnsi="Gill Sans MT"/>
                <w:b/>
                <w:bCs/>
                <w:sz w:val="20"/>
                <w:szCs w:val="20"/>
              </w:rPr>
              <w:t>4</w:t>
            </w:r>
          </w:p>
        </w:tc>
        <w:tc>
          <w:tcPr>
            <w:tcW w:w="570" w:type="dxa"/>
            <w:tcBorders>
              <w:top w:val="nil"/>
              <w:left w:val="nil"/>
              <w:bottom w:val="single" w:sz="4" w:space="0" w:color="auto"/>
              <w:right w:val="single" w:sz="4" w:space="0" w:color="auto"/>
            </w:tcBorders>
            <w:shd w:val="clear" w:color="000000" w:fill="00B0F0"/>
            <w:vAlign w:val="center"/>
            <w:hideMark/>
          </w:tcPr>
          <w:p w14:paraId="5F372BE7" w14:textId="77777777" w:rsidR="005E2423" w:rsidRPr="00D443CB" w:rsidRDefault="005E2423" w:rsidP="005E2423">
            <w:pPr>
              <w:spacing w:after="0" w:line="240" w:lineRule="auto"/>
              <w:jc w:val="center"/>
              <w:rPr>
                <w:rFonts w:ascii="Gill Sans MT" w:hAnsi="Gill Sans MT"/>
                <w:color w:val="FF0000"/>
                <w:sz w:val="20"/>
                <w:szCs w:val="20"/>
              </w:rPr>
            </w:pPr>
            <w:r w:rsidRPr="00D443CB">
              <w:rPr>
                <w:rFonts w:ascii="Gill Sans MT" w:hAnsi="Gill Sans MT"/>
                <w:b/>
                <w:bCs/>
                <w:sz w:val="20"/>
                <w:szCs w:val="20"/>
              </w:rPr>
              <w:t>5</w:t>
            </w:r>
          </w:p>
        </w:tc>
      </w:tr>
      <w:tr w:rsidR="005E2423" w:rsidRPr="00D443CB" w14:paraId="23A595EB" w14:textId="77777777" w:rsidTr="00CE2E64">
        <w:trPr>
          <w:trHeight w:val="683"/>
          <w:jc w:val="center"/>
        </w:trPr>
        <w:tc>
          <w:tcPr>
            <w:tcW w:w="665" w:type="dxa"/>
            <w:tcBorders>
              <w:top w:val="nil"/>
              <w:left w:val="single" w:sz="4" w:space="0" w:color="auto"/>
              <w:bottom w:val="single" w:sz="4" w:space="0" w:color="auto"/>
              <w:right w:val="single" w:sz="4" w:space="0" w:color="auto"/>
            </w:tcBorders>
            <w:shd w:val="clear" w:color="auto" w:fill="auto"/>
            <w:hideMark/>
          </w:tcPr>
          <w:p w14:paraId="18C3066B" w14:textId="77777777" w:rsidR="005E2423" w:rsidRPr="00D443CB" w:rsidRDefault="005E2423" w:rsidP="005E2423">
            <w:pPr>
              <w:spacing w:after="0" w:line="240" w:lineRule="auto"/>
              <w:rPr>
                <w:rFonts w:ascii="Gill Sans MT" w:hAnsi="Gill Sans MT"/>
                <w:b/>
                <w:sz w:val="18"/>
                <w:szCs w:val="18"/>
              </w:rPr>
            </w:pPr>
            <w:r w:rsidRPr="00D443CB">
              <w:rPr>
                <w:rFonts w:ascii="Gill Sans MT" w:hAnsi="Gill Sans MT"/>
                <w:b/>
                <w:sz w:val="18"/>
                <w:szCs w:val="18"/>
              </w:rPr>
              <w:t>4.1.1</w:t>
            </w:r>
          </w:p>
        </w:tc>
        <w:tc>
          <w:tcPr>
            <w:tcW w:w="6371" w:type="dxa"/>
            <w:tcBorders>
              <w:top w:val="nil"/>
              <w:left w:val="nil"/>
              <w:bottom w:val="single" w:sz="4" w:space="0" w:color="auto"/>
              <w:right w:val="single" w:sz="4" w:space="0" w:color="auto"/>
            </w:tcBorders>
            <w:shd w:val="clear" w:color="000000" w:fill="FFFFFF"/>
          </w:tcPr>
          <w:p w14:paraId="0CD9FECE" w14:textId="29D3060A" w:rsidR="005E2423" w:rsidRPr="00CE2E64" w:rsidRDefault="00CE2E64" w:rsidP="005E2423">
            <w:pPr>
              <w:spacing w:after="0" w:line="240" w:lineRule="auto"/>
              <w:rPr>
                <w:rFonts w:cs="Calibri"/>
                <w:sz w:val="20"/>
                <w:szCs w:val="20"/>
              </w:rPr>
            </w:pPr>
            <w:r w:rsidRPr="422B7BFD">
              <w:rPr>
                <w:rFonts w:cs="Calibri"/>
                <w:sz w:val="20"/>
                <w:szCs w:val="20"/>
              </w:rPr>
              <w:t xml:space="preserve">Is a clear national TB laboratory testing algorithm available that is responsive to the epidemic, patient-centered, based on international best practice and appropriate to the current structure of the health system? </w:t>
            </w:r>
          </w:p>
        </w:tc>
        <w:tc>
          <w:tcPr>
            <w:tcW w:w="570" w:type="dxa"/>
            <w:tcBorders>
              <w:top w:val="nil"/>
              <w:left w:val="nil"/>
              <w:bottom w:val="single" w:sz="4" w:space="0" w:color="auto"/>
              <w:right w:val="single" w:sz="4" w:space="0" w:color="auto"/>
            </w:tcBorders>
            <w:shd w:val="clear" w:color="000000" w:fill="FFFFFF"/>
            <w:vAlign w:val="center"/>
          </w:tcPr>
          <w:p w14:paraId="2210E6B3"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tcPr>
          <w:p w14:paraId="7D6F2DE6"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tcPr>
          <w:p w14:paraId="2D40DEB2" w14:textId="77777777" w:rsidR="005E2423" w:rsidRPr="00D443CB" w:rsidRDefault="005E2423" w:rsidP="005E2423">
            <w:pPr>
              <w:spacing w:after="0" w:line="240" w:lineRule="auto"/>
              <w:jc w:val="center"/>
              <w:rPr>
                <w:rFonts w:ascii="Gill Sans MT" w:hAnsi="Gill Sans MT"/>
                <w:sz w:val="18"/>
                <w:szCs w:val="18"/>
              </w:rPr>
            </w:pPr>
          </w:p>
        </w:tc>
        <w:tc>
          <w:tcPr>
            <w:tcW w:w="665" w:type="dxa"/>
            <w:tcBorders>
              <w:top w:val="nil"/>
              <w:left w:val="nil"/>
              <w:bottom w:val="single" w:sz="4" w:space="0" w:color="auto"/>
              <w:right w:val="single" w:sz="4" w:space="0" w:color="auto"/>
            </w:tcBorders>
            <w:shd w:val="clear" w:color="000000" w:fill="FFFFFF"/>
            <w:vAlign w:val="center"/>
            <w:hideMark/>
          </w:tcPr>
          <w:p w14:paraId="2CAC1C2C" w14:textId="77777777" w:rsidR="005E2423" w:rsidRPr="00D443CB" w:rsidRDefault="005E2423" w:rsidP="005E2423">
            <w:pPr>
              <w:spacing w:after="0" w:line="240" w:lineRule="auto"/>
              <w:jc w:val="center"/>
              <w:rPr>
                <w:rFonts w:ascii="Gill Sans MT" w:hAnsi="Gill Sans MT"/>
                <w:color w:val="FF0000"/>
                <w:sz w:val="16"/>
                <w:szCs w:val="16"/>
              </w:rPr>
            </w:pPr>
            <w:r w:rsidRPr="00D443CB">
              <w:rPr>
                <w:rFonts w:ascii="Gill Sans MT" w:hAnsi="Gill Sans MT" w:cs="Wingdings"/>
                <w:b/>
                <w:color w:val="FF0000"/>
                <w:sz w:val="40"/>
                <w:szCs w:val="16"/>
              </w:rPr>
              <w:t></w:t>
            </w:r>
          </w:p>
        </w:tc>
        <w:tc>
          <w:tcPr>
            <w:tcW w:w="570" w:type="dxa"/>
            <w:tcBorders>
              <w:top w:val="nil"/>
              <w:left w:val="nil"/>
              <w:bottom w:val="single" w:sz="4" w:space="0" w:color="auto"/>
              <w:right w:val="single" w:sz="4" w:space="0" w:color="auto"/>
            </w:tcBorders>
            <w:shd w:val="clear" w:color="000000" w:fill="FFFFFF"/>
            <w:vAlign w:val="center"/>
          </w:tcPr>
          <w:p w14:paraId="61C17EBA" w14:textId="77777777" w:rsidR="005E2423" w:rsidRPr="00D443CB" w:rsidRDefault="005E2423" w:rsidP="005E2423">
            <w:pPr>
              <w:spacing w:after="0" w:line="240" w:lineRule="auto"/>
              <w:jc w:val="center"/>
              <w:rPr>
                <w:rFonts w:ascii="Gill Sans MT" w:hAnsi="Gill Sans MT"/>
                <w:sz w:val="16"/>
                <w:szCs w:val="16"/>
              </w:rPr>
            </w:pPr>
          </w:p>
        </w:tc>
        <w:tc>
          <w:tcPr>
            <w:tcW w:w="570" w:type="dxa"/>
            <w:tcBorders>
              <w:top w:val="nil"/>
              <w:left w:val="nil"/>
              <w:bottom w:val="single" w:sz="4" w:space="0" w:color="auto"/>
              <w:right w:val="single" w:sz="4" w:space="0" w:color="auto"/>
            </w:tcBorders>
            <w:shd w:val="clear" w:color="000000" w:fill="FFFFFF"/>
            <w:vAlign w:val="center"/>
          </w:tcPr>
          <w:p w14:paraId="57278EFE" w14:textId="77777777" w:rsidR="005E2423" w:rsidRPr="00D443CB" w:rsidRDefault="005E2423" w:rsidP="005E2423">
            <w:pPr>
              <w:spacing w:after="0" w:line="240" w:lineRule="auto"/>
              <w:jc w:val="center"/>
              <w:rPr>
                <w:rFonts w:ascii="Gill Sans MT" w:hAnsi="Gill Sans MT"/>
                <w:sz w:val="16"/>
                <w:szCs w:val="16"/>
              </w:rPr>
            </w:pPr>
          </w:p>
        </w:tc>
      </w:tr>
      <w:tr w:rsidR="005E2423" w:rsidRPr="00D443CB" w14:paraId="0B50AE81" w14:textId="77777777" w:rsidTr="00CE2E64">
        <w:trPr>
          <w:trHeight w:val="703"/>
          <w:jc w:val="center"/>
        </w:trPr>
        <w:tc>
          <w:tcPr>
            <w:tcW w:w="665" w:type="dxa"/>
            <w:tcBorders>
              <w:top w:val="nil"/>
              <w:left w:val="single" w:sz="4" w:space="0" w:color="auto"/>
              <w:bottom w:val="single" w:sz="4" w:space="0" w:color="auto"/>
              <w:right w:val="single" w:sz="4" w:space="0" w:color="auto"/>
            </w:tcBorders>
            <w:shd w:val="clear" w:color="auto" w:fill="auto"/>
          </w:tcPr>
          <w:p w14:paraId="22752493" w14:textId="77777777" w:rsidR="005E2423" w:rsidRPr="00D443CB" w:rsidRDefault="005E2423" w:rsidP="005E2423">
            <w:pPr>
              <w:spacing w:after="0" w:line="240" w:lineRule="auto"/>
              <w:rPr>
                <w:rFonts w:ascii="Gill Sans MT" w:hAnsi="Gill Sans MT"/>
                <w:b/>
                <w:sz w:val="18"/>
                <w:szCs w:val="18"/>
              </w:rPr>
            </w:pPr>
            <w:r w:rsidRPr="00D443CB">
              <w:rPr>
                <w:rFonts w:ascii="Gill Sans MT" w:hAnsi="Gill Sans MT"/>
                <w:b/>
                <w:sz w:val="18"/>
                <w:szCs w:val="18"/>
              </w:rPr>
              <w:t>4.1.2</w:t>
            </w:r>
          </w:p>
        </w:tc>
        <w:tc>
          <w:tcPr>
            <w:tcW w:w="6371" w:type="dxa"/>
            <w:tcBorders>
              <w:top w:val="nil"/>
              <w:left w:val="nil"/>
              <w:bottom w:val="single" w:sz="4" w:space="0" w:color="auto"/>
              <w:right w:val="single" w:sz="4" w:space="0" w:color="auto"/>
            </w:tcBorders>
            <w:shd w:val="clear" w:color="000000" w:fill="FFFFFF"/>
          </w:tcPr>
          <w:p w14:paraId="0308EAD5" w14:textId="345D1A51" w:rsidR="005E2423" w:rsidRPr="00D443CB" w:rsidRDefault="00CE2E64" w:rsidP="005E2423">
            <w:pPr>
              <w:spacing w:after="0" w:line="240" w:lineRule="auto"/>
              <w:rPr>
                <w:rFonts w:ascii="Gill Sans MT" w:hAnsi="Gill Sans MT"/>
                <w:sz w:val="18"/>
                <w:szCs w:val="18"/>
              </w:rPr>
            </w:pPr>
            <w:r w:rsidRPr="6FEA30FD">
              <w:rPr>
                <w:rFonts w:cs="Calibri"/>
                <w:sz w:val="20"/>
                <w:szCs w:val="20"/>
              </w:rPr>
              <w:t xml:space="preserve">Does the TB laboratory testing algorithm address the laboratory goals of the </w:t>
            </w:r>
            <w:r>
              <w:rPr>
                <w:rFonts w:cs="Calibri"/>
                <w:sz w:val="20"/>
                <w:szCs w:val="20"/>
              </w:rPr>
              <w:t xml:space="preserve">WHO </w:t>
            </w:r>
            <w:r w:rsidRPr="6FEA30FD">
              <w:rPr>
                <w:rFonts w:cs="Calibri"/>
                <w:sz w:val="20"/>
                <w:szCs w:val="20"/>
              </w:rPr>
              <w:t>End TB strategy to increase access to rapid and accurate detection of TB and to reach universal access to DST?</w:t>
            </w:r>
          </w:p>
        </w:tc>
        <w:tc>
          <w:tcPr>
            <w:tcW w:w="570" w:type="dxa"/>
            <w:tcBorders>
              <w:top w:val="nil"/>
              <w:left w:val="nil"/>
              <w:bottom w:val="single" w:sz="4" w:space="0" w:color="auto"/>
              <w:right w:val="single" w:sz="4" w:space="0" w:color="auto"/>
            </w:tcBorders>
            <w:shd w:val="clear" w:color="000000" w:fill="FFFFFF"/>
            <w:vAlign w:val="center"/>
          </w:tcPr>
          <w:p w14:paraId="08258F2D"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tcPr>
          <w:p w14:paraId="23F261C1"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tcPr>
          <w:p w14:paraId="249D009F" w14:textId="77777777" w:rsidR="005E2423" w:rsidRPr="00D443CB" w:rsidRDefault="005E2423" w:rsidP="005E2423">
            <w:pPr>
              <w:spacing w:after="0" w:line="240" w:lineRule="auto"/>
              <w:jc w:val="center"/>
              <w:rPr>
                <w:rFonts w:ascii="Gill Sans MT" w:hAnsi="Gill Sans MT"/>
                <w:sz w:val="18"/>
                <w:szCs w:val="18"/>
              </w:rPr>
            </w:pPr>
          </w:p>
        </w:tc>
        <w:tc>
          <w:tcPr>
            <w:tcW w:w="665" w:type="dxa"/>
            <w:tcBorders>
              <w:top w:val="nil"/>
              <w:left w:val="nil"/>
              <w:bottom w:val="single" w:sz="4" w:space="0" w:color="auto"/>
              <w:right w:val="single" w:sz="4" w:space="0" w:color="auto"/>
            </w:tcBorders>
            <w:shd w:val="clear" w:color="000000" w:fill="FFFFFF"/>
            <w:vAlign w:val="center"/>
          </w:tcPr>
          <w:p w14:paraId="362DA459"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tcPr>
          <w:p w14:paraId="1006BE98" w14:textId="77777777" w:rsidR="005E2423" w:rsidRPr="00D443CB" w:rsidRDefault="005E2423" w:rsidP="005E2423">
            <w:pPr>
              <w:spacing w:after="0" w:line="240" w:lineRule="auto"/>
              <w:jc w:val="center"/>
              <w:rPr>
                <w:rFonts w:ascii="Gill Sans MT" w:hAnsi="Gill Sans MT"/>
                <w:sz w:val="16"/>
                <w:szCs w:val="16"/>
              </w:rPr>
            </w:pPr>
            <w:r w:rsidRPr="00D443CB">
              <w:rPr>
                <w:rFonts w:ascii="Gill Sans MT" w:hAnsi="Gill Sans MT" w:cs="Wingdings"/>
                <w:b/>
                <w:color w:val="FF0000"/>
                <w:sz w:val="40"/>
                <w:szCs w:val="16"/>
              </w:rPr>
              <w:t></w:t>
            </w:r>
          </w:p>
        </w:tc>
        <w:tc>
          <w:tcPr>
            <w:tcW w:w="570" w:type="dxa"/>
            <w:tcBorders>
              <w:top w:val="nil"/>
              <w:left w:val="nil"/>
              <w:bottom w:val="single" w:sz="4" w:space="0" w:color="auto"/>
              <w:right w:val="single" w:sz="4" w:space="0" w:color="auto"/>
            </w:tcBorders>
            <w:shd w:val="clear" w:color="000000" w:fill="FFFFFF"/>
            <w:vAlign w:val="center"/>
          </w:tcPr>
          <w:p w14:paraId="6DCA7753" w14:textId="77777777" w:rsidR="005E2423" w:rsidRPr="00D443CB" w:rsidRDefault="005E2423" w:rsidP="005E2423">
            <w:pPr>
              <w:spacing w:after="0" w:line="240" w:lineRule="auto"/>
              <w:jc w:val="center"/>
              <w:rPr>
                <w:rFonts w:ascii="Gill Sans MT" w:hAnsi="Gill Sans MT"/>
                <w:color w:val="000000"/>
                <w:sz w:val="16"/>
                <w:szCs w:val="16"/>
              </w:rPr>
            </w:pPr>
          </w:p>
        </w:tc>
      </w:tr>
      <w:tr w:rsidR="005E2423" w:rsidRPr="00D443CB" w14:paraId="013BBCC9" w14:textId="77777777" w:rsidTr="00CE2E64">
        <w:trPr>
          <w:trHeight w:val="955"/>
          <w:jc w:val="center"/>
        </w:trPr>
        <w:tc>
          <w:tcPr>
            <w:tcW w:w="665" w:type="dxa"/>
            <w:tcBorders>
              <w:top w:val="nil"/>
              <w:left w:val="single" w:sz="4" w:space="0" w:color="auto"/>
              <w:bottom w:val="single" w:sz="4" w:space="0" w:color="auto"/>
              <w:right w:val="single" w:sz="4" w:space="0" w:color="auto"/>
            </w:tcBorders>
            <w:shd w:val="clear" w:color="auto" w:fill="auto"/>
            <w:hideMark/>
          </w:tcPr>
          <w:p w14:paraId="31434E60" w14:textId="77777777" w:rsidR="005E2423" w:rsidRPr="00D443CB" w:rsidRDefault="005E2423" w:rsidP="005E2423">
            <w:pPr>
              <w:spacing w:after="0" w:line="240" w:lineRule="auto"/>
              <w:rPr>
                <w:rFonts w:ascii="Gill Sans MT" w:hAnsi="Gill Sans MT"/>
                <w:b/>
                <w:sz w:val="18"/>
                <w:szCs w:val="18"/>
              </w:rPr>
            </w:pPr>
            <w:r w:rsidRPr="00D443CB">
              <w:rPr>
                <w:rFonts w:ascii="Gill Sans MT" w:hAnsi="Gill Sans MT"/>
                <w:b/>
                <w:sz w:val="18"/>
                <w:szCs w:val="18"/>
              </w:rPr>
              <w:t>4.1.3</w:t>
            </w:r>
          </w:p>
        </w:tc>
        <w:tc>
          <w:tcPr>
            <w:tcW w:w="6371" w:type="dxa"/>
            <w:tcBorders>
              <w:top w:val="single" w:sz="4" w:space="0" w:color="auto"/>
              <w:left w:val="nil"/>
              <w:bottom w:val="single" w:sz="4" w:space="0" w:color="auto"/>
              <w:right w:val="single" w:sz="4" w:space="0" w:color="auto"/>
            </w:tcBorders>
            <w:shd w:val="clear" w:color="000000" w:fill="FFFFFF"/>
          </w:tcPr>
          <w:p w14:paraId="7E228599" w14:textId="476B837E" w:rsidR="005E2423" w:rsidRPr="00CE2E64" w:rsidRDefault="00CE2E64" w:rsidP="005E2423">
            <w:pPr>
              <w:spacing w:after="0" w:line="240" w:lineRule="auto"/>
              <w:rPr>
                <w:rFonts w:cs="Calibri"/>
                <w:sz w:val="20"/>
                <w:szCs w:val="20"/>
              </w:rPr>
            </w:pPr>
            <w:r w:rsidRPr="005454CE">
              <w:rPr>
                <w:rFonts w:cs="Calibri"/>
                <w:sz w:val="20"/>
                <w:szCs w:val="20"/>
              </w:rPr>
              <w:t xml:space="preserve">Does the </w:t>
            </w:r>
            <w:r>
              <w:rPr>
                <w:rFonts w:cs="Calibri"/>
                <w:sz w:val="20"/>
                <w:szCs w:val="20"/>
              </w:rPr>
              <w:t xml:space="preserve">national TB diagnostic </w:t>
            </w:r>
            <w:r w:rsidRPr="005454CE">
              <w:rPr>
                <w:rFonts w:cs="Calibri"/>
                <w:sz w:val="20"/>
                <w:szCs w:val="20"/>
              </w:rPr>
              <w:t>algorithm focus on the whole diagnostic cascade, from screening to treatment completion and define the role of symptom screening, clinical presentation, patient history, and X-ray in the diagnostic cascade?</w:t>
            </w:r>
          </w:p>
        </w:tc>
        <w:tc>
          <w:tcPr>
            <w:tcW w:w="570" w:type="dxa"/>
            <w:tcBorders>
              <w:top w:val="nil"/>
              <w:left w:val="nil"/>
              <w:bottom w:val="single" w:sz="4" w:space="0" w:color="auto"/>
              <w:right w:val="single" w:sz="4" w:space="0" w:color="auto"/>
            </w:tcBorders>
            <w:shd w:val="clear" w:color="000000" w:fill="FFFFFF"/>
            <w:vAlign w:val="center"/>
          </w:tcPr>
          <w:p w14:paraId="0D6C3ECA"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tcPr>
          <w:p w14:paraId="0CB176C5"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tcPr>
          <w:p w14:paraId="0F261D90" w14:textId="77777777" w:rsidR="005E2423" w:rsidRPr="00D443CB" w:rsidRDefault="005E2423" w:rsidP="005E2423">
            <w:pPr>
              <w:spacing w:after="0" w:line="240" w:lineRule="auto"/>
              <w:jc w:val="center"/>
              <w:rPr>
                <w:rFonts w:ascii="Gill Sans MT" w:hAnsi="Gill Sans MT"/>
                <w:sz w:val="18"/>
                <w:szCs w:val="18"/>
              </w:rPr>
            </w:pPr>
          </w:p>
        </w:tc>
        <w:tc>
          <w:tcPr>
            <w:tcW w:w="665" w:type="dxa"/>
            <w:tcBorders>
              <w:top w:val="nil"/>
              <w:left w:val="nil"/>
              <w:bottom w:val="single" w:sz="4" w:space="0" w:color="auto"/>
              <w:right w:val="single" w:sz="4" w:space="0" w:color="auto"/>
            </w:tcBorders>
            <w:shd w:val="clear" w:color="000000" w:fill="FFFFFF"/>
            <w:vAlign w:val="center"/>
          </w:tcPr>
          <w:p w14:paraId="4448E76B"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hideMark/>
          </w:tcPr>
          <w:p w14:paraId="3BE2C000"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nil"/>
              <w:left w:val="nil"/>
              <w:bottom w:val="single" w:sz="4" w:space="0" w:color="auto"/>
              <w:right w:val="single" w:sz="4" w:space="0" w:color="auto"/>
            </w:tcBorders>
            <w:shd w:val="clear" w:color="000000" w:fill="FFFFFF"/>
            <w:vAlign w:val="center"/>
            <w:hideMark/>
          </w:tcPr>
          <w:p w14:paraId="04EC8876" w14:textId="77777777" w:rsidR="005E2423" w:rsidRPr="00D443CB" w:rsidRDefault="005E2423" w:rsidP="005E2423">
            <w:pPr>
              <w:spacing w:after="0" w:line="240" w:lineRule="auto"/>
              <w:jc w:val="center"/>
              <w:rPr>
                <w:rFonts w:ascii="Gill Sans MT" w:hAnsi="Gill Sans MT"/>
                <w:color w:val="000000" w:themeColor="text1"/>
                <w:szCs w:val="40"/>
              </w:rPr>
            </w:pPr>
            <w:r w:rsidRPr="00D443CB">
              <w:rPr>
                <w:rFonts w:ascii="Gill Sans MT" w:hAnsi="Gill Sans MT" w:cs="Wingdings"/>
                <w:b/>
                <w:color w:val="FF0000"/>
                <w:sz w:val="40"/>
                <w:szCs w:val="40"/>
              </w:rPr>
              <w:t></w:t>
            </w:r>
          </w:p>
        </w:tc>
      </w:tr>
      <w:tr w:rsidR="005E2423" w:rsidRPr="00D443CB" w14:paraId="60DD3B29" w14:textId="77777777" w:rsidTr="00CE2E64">
        <w:trPr>
          <w:trHeight w:val="638"/>
          <w:jc w:val="center"/>
        </w:trPr>
        <w:tc>
          <w:tcPr>
            <w:tcW w:w="665" w:type="dxa"/>
            <w:tcBorders>
              <w:top w:val="single" w:sz="4" w:space="0" w:color="auto"/>
              <w:left w:val="single" w:sz="4" w:space="0" w:color="auto"/>
              <w:bottom w:val="single" w:sz="4" w:space="0" w:color="auto"/>
              <w:right w:val="single" w:sz="4" w:space="0" w:color="auto"/>
            </w:tcBorders>
            <w:shd w:val="clear" w:color="auto" w:fill="auto"/>
          </w:tcPr>
          <w:p w14:paraId="6BC61B0C" w14:textId="77777777" w:rsidR="005E2423" w:rsidRPr="00D443CB" w:rsidRDefault="005E2423" w:rsidP="005E2423">
            <w:pPr>
              <w:spacing w:after="0" w:line="240" w:lineRule="auto"/>
              <w:rPr>
                <w:rFonts w:ascii="Gill Sans MT" w:hAnsi="Gill Sans MT"/>
                <w:b/>
                <w:sz w:val="18"/>
                <w:szCs w:val="18"/>
              </w:rPr>
            </w:pPr>
            <w:r w:rsidRPr="00D443CB">
              <w:rPr>
                <w:rFonts w:ascii="Gill Sans MT" w:hAnsi="Gill Sans MT"/>
                <w:b/>
                <w:sz w:val="18"/>
                <w:szCs w:val="18"/>
              </w:rPr>
              <w:t>4.1.4</w:t>
            </w:r>
          </w:p>
        </w:tc>
        <w:tc>
          <w:tcPr>
            <w:tcW w:w="6371" w:type="dxa"/>
            <w:tcBorders>
              <w:top w:val="single" w:sz="4" w:space="0" w:color="auto"/>
              <w:left w:val="nil"/>
              <w:bottom w:val="single" w:sz="4" w:space="0" w:color="auto"/>
              <w:right w:val="nil"/>
            </w:tcBorders>
            <w:shd w:val="clear" w:color="auto" w:fill="auto"/>
          </w:tcPr>
          <w:p w14:paraId="2A0885C3" w14:textId="473A0349" w:rsidR="005E2423" w:rsidRPr="00D443CB" w:rsidRDefault="00CE2E64" w:rsidP="005E2423">
            <w:pPr>
              <w:spacing w:after="0" w:line="240" w:lineRule="auto"/>
              <w:rPr>
                <w:rFonts w:ascii="Gill Sans MT" w:hAnsi="Gill Sans MT"/>
                <w:sz w:val="18"/>
                <w:szCs w:val="18"/>
              </w:rPr>
            </w:pPr>
            <w:r w:rsidRPr="005454CE">
              <w:rPr>
                <w:rFonts w:cs="Calibri"/>
                <w:sz w:val="20"/>
                <w:szCs w:val="20"/>
              </w:rPr>
              <w:t>Is comprehensive training on diagnostic algorithms, testing methods, specimen collection, test requisition forms and specimen referral provided to all laboratorians, clinicians and other providers (including non-NTP) and TB program staff?</w:t>
            </w:r>
          </w:p>
        </w:tc>
        <w:tc>
          <w:tcPr>
            <w:tcW w:w="570" w:type="dxa"/>
            <w:tcBorders>
              <w:top w:val="single" w:sz="4" w:space="0" w:color="auto"/>
              <w:left w:val="single" w:sz="4" w:space="0" w:color="auto"/>
              <w:bottom w:val="single" w:sz="4" w:space="0" w:color="auto"/>
              <w:right w:val="single" w:sz="4" w:space="0" w:color="auto"/>
            </w:tcBorders>
            <w:shd w:val="clear" w:color="000000" w:fill="FFFFFF"/>
            <w:vAlign w:val="center"/>
          </w:tcPr>
          <w:p w14:paraId="24004629"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single" w:sz="4" w:space="0" w:color="auto"/>
              <w:left w:val="nil"/>
              <w:bottom w:val="single" w:sz="4" w:space="0" w:color="auto"/>
              <w:right w:val="single" w:sz="4" w:space="0" w:color="auto"/>
            </w:tcBorders>
            <w:shd w:val="clear" w:color="000000" w:fill="FFFFFF"/>
            <w:vAlign w:val="center"/>
          </w:tcPr>
          <w:p w14:paraId="39904ED6" w14:textId="77777777" w:rsidR="005E2423" w:rsidRPr="00D443CB" w:rsidRDefault="005E2423" w:rsidP="005E2423">
            <w:pPr>
              <w:spacing w:after="0" w:line="240" w:lineRule="auto"/>
              <w:jc w:val="center"/>
              <w:rPr>
                <w:rFonts w:ascii="Gill Sans MT" w:hAnsi="Gill Sans MT" w:cs="Calibri"/>
                <w:color w:val="000000"/>
                <w:sz w:val="16"/>
                <w:szCs w:val="16"/>
              </w:rPr>
            </w:pPr>
            <w:r w:rsidRPr="00D443CB">
              <w:rPr>
                <w:rFonts w:ascii="Gill Sans MT" w:hAnsi="Gill Sans MT" w:cs="Wingdings"/>
                <w:b/>
                <w:color w:val="FF0000"/>
                <w:sz w:val="40"/>
                <w:szCs w:val="40"/>
              </w:rPr>
              <w:t></w:t>
            </w:r>
          </w:p>
        </w:tc>
        <w:tc>
          <w:tcPr>
            <w:tcW w:w="570" w:type="dxa"/>
            <w:tcBorders>
              <w:top w:val="single" w:sz="4" w:space="0" w:color="auto"/>
              <w:left w:val="nil"/>
              <w:bottom w:val="single" w:sz="4" w:space="0" w:color="auto"/>
              <w:right w:val="single" w:sz="4" w:space="0" w:color="auto"/>
            </w:tcBorders>
            <w:shd w:val="clear" w:color="000000" w:fill="FFFFFF"/>
            <w:vAlign w:val="center"/>
          </w:tcPr>
          <w:p w14:paraId="702D4D91" w14:textId="77777777" w:rsidR="005E2423" w:rsidRPr="00D443CB" w:rsidRDefault="005E2423" w:rsidP="005E2423">
            <w:pPr>
              <w:spacing w:after="0" w:line="240" w:lineRule="auto"/>
              <w:jc w:val="center"/>
              <w:rPr>
                <w:rFonts w:ascii="Gill Sans MT" w:hAnsi="Gill Sans MT"/>
                <w:sz w:val="18"/>
                <w:szCs w:val="18"/>
              </w:rPr>
            </w:pPr>
          </w:p>
        </w:tc>
        <w:tc>
          <w:tcPr>
            <w:tcW w:w="665" w:type="dxa"/>
            <w:tcBorders>
              <w:top w:val="single" w:sz="4" w:space="0" w:color="auto"/>
              <w:left w:val="nil"/>
              <w:bottom w:val="single" w:sz="4" w:space="0" w:color="auto"/>
              <w:right w:val="single" w:sz="4" w:space="0" w:color="auto"/>
            </w:tcBorders>
            <w:shd w:val="clear" w:color="000000" w:fill="FFFFFF"/>
            <w:vAlign w:val="center"/>
          </w:tcPr>
          <w:p w14:paraId="1505AE1D"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single" w:sz="4" w:space="0" w:color="auto"/>
              <w:left w:val="nil"/>
              <w:bottom w:val="single" w:sz="4" w:space="0" w:color="auto"/>
              <w:right w:val="single" w:sz="4" w:space="0" w:color="auto"/>
            </w:tcBorders>
            <w:shd w:val="clear" w:color="000000" w:fill="FFFFFF"/>
            <w:vAlign w:val="center"/>
          </w:tcPr>
          <w:p w14:paraId="15F53A85"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single" w:sz="4" w:space="0" w:color="auto"/>
              <w:left w:val="nil"/>
              <w:bottom w:val="single" w:sz="4" w:space="0" w:color="auto"/>
              <w:right w:val="single" w:sz="4" w:space="0" w:color="auto"/>
            </w:tcBorders>
            <w:shd w:val="clear" w:color="000000" w:fill="FFFFFF"/>
            <w:vAlign w:val="center"/>
          </w:tcPr>
          <w:p w14:paraId="7BD2CBB1" w14:textId="77777777" w:rsidR="005E2423" w:rsidRPr="00D443CB" w:rsidRDefault="005E2423" w:rsidP="005E2423">
            <w:pPr>
              <w:spacing w:after="0" w:line="240" w:lineRule="auto"/>
              <w:jc w:val="center"/>
              <w:rPr>
                <w:rFonts w:ascii="Gill Sans MT" w:hAnsi="Gill Sans MT"/>
                <w:sz w:val="18"/>
                <w:szCs w:val="18"/>
              </w:rPr>
            </w:pPr>
          </w:p>
        </w:tc>
      </w:tr>
      <w:tr w:rsidR="005E2423" w:rsidRPr="00D443CB" w14:paraId="759988DB" w14:textId="77777777" w:rsidTr="00CE2E64">
        <w:trPr>
          <w:trHeight w:val="944"/>
          <w:jc w:val="center"/>
        </w:trPr>
        <w:tc>
          <w:tcPr>
            <w:tcW w:w="665" w:type="dxa"/>
            <w:tcBorders>
              <w:top w:val="single" w:sz="4" w:space="0" w:color="auto"/>
              <w:left w:val="single" w:sz="4" w:space="0" w:color="auto"/>
              <w:bottom w:val="single" w:sz="4" w:space="0" w:color="auto"/>
              <w:right w:val="single" w:sz="4" w:space="0" w:color="auto"/>
            </w:tcBorders>
            <w:shd w:val="clear" w:color="auto" w:fill="auto"/>
          </w:tcPr>
          <w:p w14:paraId="22338976" w14:textId="77777777" w:rsidR="005E2423" w:rsidRPr="00D443CB" w:rsidRDefault="005E2423" w:rsidP="005E2423">
            <w:pPr>
              <w:spacing w:after="0" w:line="240" w:lineRule="auto"/>
              <w:rPr>
                <w:rFonts w:ascii="Gill Sans MT" w:hAnsi="Gill Sans MT"/>
                <w:b/>
                <w:sz w:val="18"/>
                <w:szCs w:val="18"/>
              </w:rPr>
            </w:pPr>
            <w:r w:rsidRPr="00D443CB">
              <w:rPr>
                <w:rFonts w:ascii="Gill Sans MT" w:hAnsi="Gill Sans MT"/>
                <w:b/>
                <w:sz w:val="18"/>
                <w:szCs w:val="18"/>
              </w:rPr>
              <w:t>4.1.5</w:t>
            </w:r>
          </w:p>
        </w:tc>
        <w:tc>
          <w:tcPr>
            <w:tcW w:w="6371" w:type="dxa"/>
            <w:tcBorders>
              <w:top w:val="single" w:sz="4" w:space="0" w:color="auto"/>
              <w:left w:val="nil"/>
              <w:bottom w:val="single" w:sz="4" w:space="0" w:color="auto"/>
              <w:right w:val="nil"/>
            </w:tcBorders>
            <w:shd w:val="clear" w:color="auto" w:fill="auto"/>
          </w:tcPr>
          <w:p w14:paraId="2E2D271F" w14:textId="1913444B" w:rsidR="005E2423" w:rsidRPr="00D443CB" w:rsidRDefault="00CE2E64" w:rsidP="005E2423">
            <w:pPr>
              <w:spacing w:after="0" w:line="240" w:lineRule="auto"/>
              <w:rPr>
                <w:rFonts w:ascii="Gill Sans MT" w:hAnsi="Gill Sans MT"/>
                <w:sz w:val="18"/>
                <w:szCs w:val="18"/>
              </w:rPr>
            </w:pPr>
            <w:r w:rsidRPr="005454CE">
              <w:rPr>
                <w:rFonts w:cs="Calibri"/>
                <w:sz w:val="20"/>
                <w:szCs w:val="20"/>
              </w:rPr>
              <w:t>Are diagnostic tests ordered according to standard diagnostic algorithms and based on national policy and patient risk factors and history? (as opposed to individual clinicians deciding which tests to order based on their own criteria and patient preference)</w:t>
            </w:r>
          </w:p>
        </w:tc>
        <w:tc>
          <w:tcPr>
            <w:tcW w:w="570" w:type="dxa"/>
            <w:tcBorders>
              <w:top w:val="single" w:sz="4" w:space="0" w:color="auto"/>
              <w:left w:val="single" w:sz="4" w:space="0" w:color="auto"/>
              <w:bottom w:val="single" w:sz="4" w:space="0" w:color="auto"/>
              <w:right w:val="single" w:sz="4" w:space="0" w:color="auto"/>
            </w:tcBorders>
            <w:shd w:val="clear" w:color="000000" w:fill="FFFFFF"/>
            <w:vAlign w:val="center"/>
          </w:tcPr>
          <w:p w14:paraId="15428D08"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single" w:sz="4" w:space="0" w:color="auto"/>
              <w:left w:val="nil"/>
              <w:bottom w:val="single" w:sz="4" w:space="0" w:color="auto"/>
              <w:right w:val="single" w:sz="4" w:space="0" w:color="auto"/>
            </w:tcBorders>
            <w:shd w:val="clear" w:color="000000" w:fill="FFFFFF"/>
            <w:vAlign w:val="center"/>
          </w:tcPr>
          <w:p w14:paraId="35292B4C"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single" w:sz="4" w:space="0" w:color="auto"/>
              <w:left w:val="nil"/>
              <w:bottom w:val="single" w:sz="4" w:space="0" w:color="auto"/>
              <w:right w:val="single" w:sz="4" w:space="0" w:color="auto"/>
            </w:tcBorders>
            <w:shd w:val="clear" w:color="000000" w:fill="FFFFFF"/>
            <w:vAlign w:val="center"/>
          </w:tcPr>
          <w:p w14:paraId="076ECFB7" w14:textId="77777777" w:rsidR="005E2423" w:rsidRPr="00D443CB" w:rsidRDefault="005E2423" w:rsidP="005E2423">
            <w:pPr>
              <w:spacing w:after="0" w:line="240" w:lineRule="auto"/>
              <w:jc w:val="center"/>
              <w:rPr>
                <w:rFonts w:ascii="Gill Sans MT" w:hAnsi="Gill Sans MT"/>
                <w:sz w:val="16"/>
                <w:szCs w:val="16"/>
              </w:rPr>
            </w:pPr>
            <w:r w:rsidRPr="00D443CB">
              <w:rPr>
                <w:rFonts w:ascii="Gill Sans MT" w:hAnsi="Gill Sans MT" w:cs="Wingdings"/>
                <w:b/>
                <w:color w:val="FF0000"/>
                <w:sz w:val="40"/>
                <w:szCs w:val="40"/>
              </w:rPr>
              <w:t></w:t>
            </w:r>
          </w:p>
        </w:tc>
        <w:tc>
          <w:tcPr>
            <w:tcW w:w="665" w:type="dxa"/>
            <w:tcBorders>
              <w:top w:val="single" w:sz="4" w:space="0" w:color="auto"/>
              <w:left w:val="nil"/>
              <w:bottom w:val="single" w:sz="4" w:space="0" w:color="auto"/>
              <w:right w:val="single" w:sz="4" w:space="0" w:color="auto"/>
            </w:tcBorders>
            <w:shd w:val="clear" w:color="000000" w:fill="FFFFFF"/>
            <w:vAlign w:val="center"/>
          </w:tcPr>
          <w:p w14:paraId="41234F6F"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single" w:sz="4" w:space="0" w:color="auto"/>
              <w:left w:val="nil"/>
              <w:bottom w:val="single" w:sz="4" w:space="0" w:color="auto"/>
              <w:right w:val="single" w:sz="4" w:space="0" w:color="auto"/>
            </w:tcBorders>
            <w:shd w:val="clear" w:color="000000" w:fill="FFFFFF"/>
            <w:vAlign w:val="center"/>
          </w:tcPr>
          <w:p w14:paraId="02AB38C2" w14:textId="77777777" w:rsidR="005E2423" w:rsidRPr="00D443CB" w:rsidRDefault="005E2423" w:rsidP="005E2423">
            <w:pPr>
              <w:spacing w:after="0" w:line="240" w:lineRule="auto"/>
              <w:jc w:val="center"/>
              <w:rPr>
                <w:rFonts w:ascii="Gill Sans MT" w:hAnsi="Gill Sans MT"/>
                <w:sz w:val="18"/>
                <w:szCs w:val="18"/>
              </w:rPr>
            </w:pPr>
          </w:p>
        </w:tc>
        <w:tc>
          <w:tcPr>
            <w:tcW w:w="570" w:type="dxa"/>
            <w:tcBorders>
              <w:top w:val="single" w:sz="4" w:space="0" w:color="auto"/>
              <w:left w:val="nil"/>
              <w:bottom w:val="single" w:sz="4" w:space="0" w:color="auto"/>
              <w:right w:val="single" w:sz="4" w:space="0" w:color="auto"/>
            </w:tcBorders>
            <w:shd w:val="clear" w:color="000000" w:fill="FFFFFF"/>
            <w:vAlign w:val="center"/>
          </w:tcPr>
          <w:p w14:paraId="7DAD1F5F" w14:textId="77777777" w:rsidR="005E2423" w:rsidRPr="00D443CB" w:rsidRDefault="005E2423" w:rsidP="005E2423">
            <w:pPr>
              <w:spacing w:after="0" w:line="240" w:lineRule="auto"/>
              <w:jc w:val="center"/>
              <w:rPr>
                <w:rFonts w:ascii="Gill Sans MT" w:hAnsi="Gill Sans MT"/>
                <w:sz w:val="18"/>
                <w:szCs w:val="18"/>
              </w:rPr>
            </w:pPr>
          </w:p>
        </w:tc>
      </w:tr>
      <w:bookmarkEnd w:id="21"/>
    </w:tbl>
    <w:p w14:paraId="150907B5" w14:textId="7B4DD469" w:rsidR="00EE7203" w:rsidRDefault="00EE7203" w:rsidP="003F0903">
      <w:pPr>
        <w:widowControl w:val="0"/>
        <w:autoSpaceDE w:val="0"/>
        <w:autoSpaceDN w:val="0"/>
        <w:adjustRightInd w:val="0"/>
        <w:spacing w:after="0" w:line="240" w:lineRule="auto"/>
        <w:ind w:right="3053"/>
        <w:rPr>
          <w:rFonts w:ascii="Gill Sans MT" w:hAnsi="Gill Sans MT" w:cs="Calibri"/>
        </w:rPr>
      </w:pPr>
    </w:p>
    <w:p w14:paraId="4F6B6A58" w14:textId="21B34348" w:rsidR="004B0776" w:rsidRPr="00D443CB" w:rsidRDefault="004B0776" w:rsidP="003F0903">
      <w:pPr>
        <w:widowControl w:val="0"/>
        <w:autoSpaceDE w:val="0"/>
        <w:autoSpaceDN w:val="0"/>
        <w:adjustRightInd w:val="0"/>
        <w:spacing w:after="0" w:line="240" w:lineRule="auto"/>
        <w:ind w:right="3053"/>
        <w:rPr>
          <w:rFonts w:ascii="Gill Sans MT" w:hAnsi="Gill Sans MT" w:cs="Calibri"/>
        </w:rPr>
      </w:pPr>
      <w:r w:rsidRPr="00D443CB">
        <w:rPr>
          <w:rFonts w:ascii="Gill Sans MT" w:hAnsi="Gill Sans MT" w:cs="Calibri"/>
          <w:b/>
        </w:rPr>
        <w:t xml:space="preserve">Figure </w:t>
      </w:r>
      <w:r w:rsidR="00855F2B" w:rsidRPr="00D443CB">
        <w:rPr>
          <w:rFonts w:ascii="Gill Sans MT" w:hAnsi="Gill Sans MT" w:cs="Calibri"/>
          <w:b/>
        </w:rPr>
        <w:t>2</w:t>
      </w:r>
      <w:r w:rsidRPr="00D443CB">
        <w:rPr>
          <w:rFonts w:ascii="Gill Sans MT" w:hAnsi="Gill Sans MT" w:cs="Calibri"/>
          <w:b/>
        </w:rPr>
        <w:t>.</w:t>
      </w:r>
      <w:r w:rsidRPr="00D443CB">
        <w:rPr>
          <w:rFonts w:ascii="Gill Sans MT" w:hAnsi="Gill Sans MT" w:cs="Calibri"/>
        </w:rPr>
        <w:t xml:space="preserve"> Determining a component’s capability stage</w:t>
      </w:r>
    </w:p>
    <w:p w14:paraId="1F5CFCDE" w14:textId="77777777" w:rsidR="00DD2EA2" w:rsidRPr="00D443CB" w:rsidRDefault="00DD2EA2" w:rsidP="003F0903">
      <w:pPr>
        <w:spacing w:after="0" w:line="240" w:lineRule="auto"/>
        <w:rPr>
          <w:rFonts w:ascii="Gill Sans MT" w:hAnsi="Gill Sans MT" w:cstheme="minorHAnsi"/>
        </w:rPr>
      </w:pPr>
    </w:p>
    <w:p w14:paraId="0C4CA781" w14:textId="13BC127A" w:rsidR="004B0776" w:rsidRPr="00D443CB" w:rsidRDefault="004B0776" w:rsidP="008F79FE">
      <w:pPr>
        <w:spacing w:after="0" w:line="240" w:lineRule="auto"/>
        <w:jc w:val="both"/>
        <w:rPr>
          <w:rFonts w:ascii="Gill Sans MT" w:hAnsi="Gill Sans MT" w:cstheme="minorHAnsi"/>
        </w:rPr>
      </w:pPr>
      <w:r w:rsidRPr="00D443CB">
        <w:rPr>
          <w:rFonts w:ascii="Gill Sans MT" w:hAnsi="Gill Sans MT" w:cstheme="minorHAnsi"/>
        </w:rPr>
        <w:t xml:space="preserve">This qualitative analysis can provide a quick visual assessment of the status of the overall diagnostic network core capacities and identify areas that need intensified strengthening. </w:t>
      </w:r>
      <w:r w:rsidR="00F753FF" w:rsidRPr="00D443CB">
        <w:rPr>
          <w:rFonts w:ascii="Gill Sans MT" w:hAnsi="Gill Sans MT" w:cstheme="minorHAnsi"/>
        </w:rPr>
        <w:t>To provide an assessment of the progress towards achieving a strong diagnostic network, progress towards reaching stage 5 (or 100% capability) is calculated for each core capacity.</w:t>
      </w:r>
      <w:r w:rsidRPr="00D443CB">
        <w:rPr>
          <w:rFonts w:ascii="Gill Sans MT" w:hAnsi="Gill Sans MT" w:cstheme="minorHAnsi"/>
        </w:rPr>
        <w:t xml:space="preserve"> </w:t>
      </w:r>
      <w:r w:rsidR="00F753FF" w:rsidRPr="00D443CB">
        <w:rPr>
          <w:rFonts w:ascii="Gill Sans MT" w:hAnsi="Gill Sans MT" w:cstheme="minorHAnsi"/>
        </w:rPr>
        <w:t xml:space="preserve">Figure </w:t>
      </w:r>
      <w:r w:rsidR="00855F2B" w:rsidRPr="00D443CB">
        <w:rPr>
          <w:rFonts w:ascii="Gill Sans MT" w:hAnsi="Gill Sans MT" w:cstheme="minorHAnsi"/>
        </w:rPr>
        <w:t>3</w:t>
      </w:r>
      <w:r w:rsidR="00F753FF" w:rsidRPr="00D443CB">
        <w:rPr>
          <w:rFonts w:ascii="Gill Sans MT" w:hAnsi="Gill Sans MT" w:cstheme="minorHAnsi"/>
        </w:rPr>
        <w:t xml:space="preserve"> is an example of how to determine progress towards achieving 100% capability for the core capacity of diagnostic algorithm and laboratory-clinical interface:</w:t>
      </w:r>
    </w:p>
    <w:p w14:paraId="73C2C4A5" w14:textId="05991BC6" w:rsidR="004B0776" w:rsidRPr="00D443CB" w:rsidRDefault="004B0776" w:rsidP="00FC763C">
      <w:pPr>
        <w:pStyle w:val="ListBullet2"/>
        <w:numPr>
          <w:ilvl w:val="0"/>
          <w:numId w:val="16"/>
        </w:numPr>
        <w:jc w:val="both"/>
        <w:rPr>
          <w:rFonts w:ascii="Gill Sans MT" w:hAnsi="Gill Sans MT" w:cstheme="minorHAnsi"/>
          <w:sz w:val="22"/>
          <w:szCs w:val="22"/>
        </w:rPr>
      </w:pPr>
      <w:r w:rsidRPr="00D443CB">
        <w:rPr>
          <w:rFonts w:ascii="Gill Sans MT" w:hAnsi="Gill Sans MT" w:cstheme="minorHAnsi"/>
          <w:sz w:val="22"/>
          <w:szCs w:val="22"/>
        </w:rPr>
        <w:t xml:space="preserve">Translate each question’s capability stage into </w:t>
      </w:r>
      <w:r w:rsidR="00BB4CE2" w:rsidRPr="00D443CB">
        <w:rPr>
          <w:rFonts w:ascii="Gill Sans MT" w:hAnsi="Gill Sans MT" w:cstheme="minorHAnsi"/>
          <w:sz w:val="22"/>
          <w:szCs w:val="22"/>
        </w:rPr>
        <w:t>‘</w:t>
      </w:r>
      <w:r w:rsidRPr="00D443CB">
        <w:rPr>
          <w:rFonts w:ascii="Gill Sans MT" w:hAnsi="Gill Sans MT" w:cstheme="minorHAnsi"/>
          <w:sz w:val="22"/>
          <w:szCs w:val="22"/>
        </w:rPr>
        <w:t>points</w:t>
      </w:r>
      <w:r w:rsidR="00BB4CE2" w:rsidRPr="00D443CB">
        <w:rPr>
          <w:rFonts w:ascii="Gill Sans MT" w:hAnsi="Gill Sans MT" w:cstheme="minorHAnsi"/>
          <w:sz w:val="22"/>
          <w:szCs w:val="22"/>
        </w:rPr>
        <w:t>’</w:t>
      </w:r>
      <w:r w:rsidRPr="00D443CB">
        <w:rPr>
          <w:rFonts w:ascii="Gill Sans MT" w:hAnsi="Gill Sans MT" w:cstheme="minorHAnsi"/>
          <w:sz w:val="22"/>
          <w:szCs w:val="22"/>
        </w:rPr>
        <w:t xml:space="preserve">. For example, question 1 contributes </w:t>
      </w:r>
      <w:r w:rsidR="0084715F" w:rsidRPr="00D443CB">
        <w:rPr>
          <w:rFonts w:ascii="Gill Sans MT" w:hAnsi="Gill Sans MT" w:cstheme="minorHAnsi"/>
          <w:sz w:val="22"/>
          <w:szCs w:val="22"/>
        </w:rPr>
        <w:t xml:space="preserve">3 </w:t>
      </w:r>
      <w:r w:rsidRPr="00D443CB">
        <w:rPr>
          <w:rFonts w:ascii="Gill Sans MT" w:hAnsi="Gill Sans MT" w:cstheme="minorHAnsi"/>
          <w:sz w:val="22"/>
          <w:szCs w:val="22"/>
        </w:rPr>
        <w:t xml:space="preserve">points, question 2 contributes </w:t>
      </w:r>
      <w:r w:rsidR="0084715F" w:rsidRPr="00D443CB">
        <w:rPr>
          <w:rFonts w:ascii="Gill Sans MT" w:hAnsi="Gill Sans MT" w:cstheme="minorHAnsi"/>
          <w:sz w:val="22"/>
          <w:szCs w:val="22"/>
        </w:rPr>
        <w:t xml:space="preserve">4 </w:t>
      </w:r>
      <w:r w:rsidRPr="00D443CB">
        <w:rPr>
          <w:rFonts w:ascii="Gill Sans MT" w:hAnsi="Gill Sans MT" w:cstheme="minorHAnsi"/>
          <w:sz w:val="22"/>
          <w:szCs w:val="22"/>
        </w:rPr>
        <w:t xml:space="preserve">points, etc. </w:t>
      </w:r>
    </w:p>
    <w:p w14:paraId="11FEE468" w14:textId="292771F2" w:rsidR="004B0776" w:rsidRPr="00D443CB" w:rsidRDefault="004B0776" w:rsidP="00FC763C">
      <w:pPr>
        <w:pStyle w:val="ListBullet2"/>
        <w:numPr>
          <w:ilvl w:val="0"/>
          <w:numId w:val="16"/>
        </w:numPr>
        <w:jc w:val="both"/>
        <w:rPr>
          <w:rFonts w:ascii="Gill Sans MT" w:hAnsi="Gill Sans MT" w:cstheme="minorHAnsi"/>
          <w:sz w:val="22"/>
          <w:szCs w:val="22"/>
        </w:rPr>
      </w:pPr>
      <w:r w:rsidRPr="00D443CB">
        <w:rPr>
          <w:rFonts w:ascii="Gill Sans MT" w:hAnsi="Gill Sans MT" w:cstheme="minorHAnsi"/>
          <w:sz w:val="22"/>
          <w:szCs w:val="22"/>
        </w:rPr>
        <w:t xml:space="preserve">Add up the points for all of the questions within the core capacity. In the example, the total </w:t>
      </w:r>
      <w:r w:rsidR="001D574B" w:rsidRPr="00D443CB">
        <w:rPr>
          <w:rFonts w:ascii="Gill Sans MT" w:hAnsi="Gill Sans MT" w:cstheme="minorHAnsi"/>
          <w:sz w:val="22"/>
          <w:szCs w:val="22"/>
        </w:rPr>
        <w:t>is</w:t>
      </w:r>
      <w:r w:rsidRPr="00D443CB">
        <w:rPr>
          <w:rFonts w:ascii="Gill Sans MT" w:hAnsi="Gill Sans MT" w:cstheme="minorHAnsi"/>
          <w:sz w:val="22"/>
          <w:szCs w:val="22"/>
        </w:rPr>
        <w:t xml:space="preserve"> </w:t>
      </w:r>
      <w:r w:rsidR="00E40E26" w:rsidRPr="00D443CB">
        <w:rPr>
          <w:rFonts w:ascii="Gill Sans MT" w:hAnsi="Gill Sans MT" w:cstheme="minorHAnsi"/>
          <w:sz w:val="22"/>
          <w:szCs w:val="22"/>
        </w:rPr>
        <w:t xml:space="preserve">22 </w:t>
      </w:r>
      <w:r w:rsidR="001D574B" w:rsidRPr="00D443CB">
        <w:rPr>
          <w:rFonts w:ascii="Gill Sans MT" w:hAnsi="Gill Sans MT" w:cstheme="minorHAnsi"/>
          <w:sz w:val="22"/>
          <w:szCs w:val="22"/>
        </w:rPr>
        <w:t>points</w:t>
      </w:r>
    </w:p>
    <w:p w14:paraId="7A8D23FF" w14:textId="506E0E4D" w:rsidR="004B0776" w:rsidRPr="00D443CB" w:rsidRDefault="004B0776" w:rsidP="00FC763C">
      <w:pPr>
        <w:pStyle w:val="ListBullet2"/>
        <w:numPr>
          <w:ilvl w:val="0"/>
          <w:numId w:val="16"/>
        </w:numPr>
        <w:jc w:val="both"/>
        <w:rPr>
          <w:rFonts w:ascii="Gill Sans MT" w:hAnsi="Gill Sans MT" w:cstheme="minorHAnsi"/>
          <w:sz w:val="22"/>
          <w:szCs w:val="22"/>
        </w:rPr>
      </w:pPr>
      <w:r w:rsidRPr="00D443CB">
        <w:rPr>
          <w:rFonts w:ascii="Gill Sans MT" w:hAnsi="Gill Sans MT" w:cstheme="minorHAnsi"/>
          <w:sz w:val="22"/>
          <w:szCs w:val="22"/>
        </w:rPr>
        <w:t>Calculate the capability percentage as: [</w:t>
      </w:r>
      <w:r w:rsidR="001D574B" w:rsidRPr="00D443CB">
        <w:rPr>
          <w:rFonts w:ascii="Gill Sans MT" w:hAnsi="Gill Sans MT" w:cstheme="minorHAnsi"/>
          <w:sz w:val="22"/>
          <w:szCs w:val="22"/>
        </w:rPr>
        <w:t>(</w:t>
      </w:r>
      <w:r w:rsidRPr="00D443CB">
        <w:rPr>
          <w:rFonts w:ascii="Gill Sans MT" w:hAnsi="Gill Sans MT" w:cstheme="minorHAnsi"/>
          <w:sz w:val="22"/>
          <w:szCs w:val="22"/>
        </w:rPr>
        <w:t>Total number of points for all questions within a core capacity) / (total number of questions x 5)] x 100. In the example, the percentage is: [</w:t>
      </w:r>
      <w:r w:rsidR="00E40E26" w:rsidRPr="00D443CB">
        <w:rPr>
          <w:rFonts w:ascii="Gill Sans MT" w:hAnsi="Gill Sans MT" w:cstheme="minorHAnsi"/>
          <w:sz w:val="22"/>
          <w:szCs w:val="22"/>
        </w:rPr>
        <w:t>22</w:t>
      </w:r>
      <w:r w:rsidRPr="00D443CB">
        <w:rPr>
          <w:rFonts w:ascii="Gill Sans MT" w:hAnsi="Gill Sans MT" w:cstheme="minorHAnsi"/>
          <w:sz w:val="22"/>
          <w:szCs w:val="22"/>
        </w:rPr>
        <w:t>/(</w:t>
      </w:r>
      <w:r w:rsidR="00E40E26" w:rsidRPr="00D443CB">
        <w:rPr>
          <w:rFonts w:ascii="Gill Sans MT" w:hAnsi="Gill Sans MT" w:cstheme="minorHAnsi"/>
          <w:sz w:val="22"/>
          <w:szCs w:val="22"/>
        </w:rPr>
        <w:t>8x5</w:t>
      </w:r>
      <w:r w:rsidRPr="00D443CB">
        <w:rPr>
          <w:rFonts w:ascii="Gill Sans MT" w:hAnsi="Gill Sans MT" w:cstheme="minorHAnsi"/>
          <w:sz w:val="22"/>
          <w:szCs w:val="22"/>
        </w:rPr>
        <w:t xml:space="preserve">)]x100 = </w:t>
      </w:r>
      <w:r w:rsidR="00E40E26" w:rsidRPr="00D443CB">
        <w:rPr>
          <w:rFonts w:ascii="Gill Sans MT" w:hAnsi="Gill Sans MT" w:cstheme="minorHAnsi"/>
          <w:sz w:val="22"/>
          <w:szCs w:val="22"/>
        </w:rPr>
        <w:t>55</w:t>
      </w:r>
      <w:r w:rsidRPr="00D443CB">
        <w:rPr>
          <w:rFonts w:ascii="Gill Sans MT" w:hAnsi="Gill Sans MT" w:cstheme="minorHAnsi"/>
          <w:sz w:val="22"/>
          <w:szCs w:val="22"/>
        </w:rPr>
        <w:t>%</w:t>
      </w:r>
    </w:p>
    <w:p w14:paraId="59609312" w14:textId="7D84B0BA" w:rsidR="008418FF" w:rsidRPr="00D443CB" w:rsidRDefault="008418FF" w:rsidP="008F79FE">
      <w:pPr>
        <w:spacing w:after="0" w:line="240" w:lineRule="auto"/>
        <w:ind w:right="720"/>
        <w:jc w:val="both"/>
        <w:rPr>
          <w:rFonts w:ascii="Gill Sans MT" w:hAnsi="Gill Sans MT"/>
          <w:b/>
        </w:rPr>
      </w:pPr>
      <w:bookmarkStart w:id="22" w:name="_MON_1576871539"/>
      <w:bookmarkEnd w:id="22"/>
    </w:p>
    <w:tbl>
      <w:tblPr>
        <w:tblW w:w="8702" w:type="dxa"/>
        <w:tblInd w:w="918" w:type="dxa"/>
        <w:tblBorders>
          <w:top w:val="single" w:sz="8" w:space="0" w:color="auto"/>
          <w:left w:val="single" w:sz="8" w:space="0" w:color="auto"/>
          <w:bottom w:val="single" w:sz="8" w:space="0" w:color="auto"/>
          <w:right w:val="single" w:sz="8" w:space="0" w:color="auto"/>
          <w:insideV w:val="single" w:sz="8" w:space="0" w:color="auto"/>
        </w:tblBorders>
        <w:tblLook w:val="04A0" w:firstRow="1" w:lastRow="0" w:firstColumn="1" w:lastColumn="0" w:noHBand="0" w:noVBand="1"/>
      </w:tblPr>
      <w:tblGrid>
        <w:gridCol w:w="4472"/>
        <w:gridCol w:w="3240"/>
        <w:gridCol w:w="990"/>
      </w:tblGrid>
      <w:tr w:rsidR="00542CDD" w:rsidRPr="00D443CB" w14:paraId="6F3C4FB3" w14:textId="77777777" w:rsidTr="00285463">
        <w:trPr>
          <w:trHeight w:val="288"/>
        </w:trPr>
        <w:tc>
          <w:tcPr>
            <w:tcW w:w="4472" w:type="dxa"/>
            <w:tcBorders>
              <w:top w:val="single" w:sz="8" w:space="0" w:color="auto"/>
              <w:bottom w:val="single" w:sz="8" w:space="0" w:color="auto"/>
            </w:tcBorders>
            <w:shd w:val="clear" w:color="auto" w:fill="auto"/>
            <w:hideMark/>
          </w:tcPr>
          <w:p w14:paraId="57F569CA" w14:textId="77777777" w:rsidR="00542CDD" w:rsidRPr="00D443CB" w:rsidRDefault="00542CDD" w:rsidP="0084715F">
            <w:pPr>
              <w:spacing w:after="0" w:line="240" w:lineRule="auto"/>
              <w:rPr>
                <w:rFonts w:ascii="Gill Sans MT" w:hAnsi="Gill Sans MT" w:cs="Calibri"/>
                <w:b/>
                <w:bCs/>
                <w:color w:val="000000"/>
              </w:rPr>
            </w:pPr>
            <w:r w:rsidRPr="00D443CB">
              <w:rPr>
                <w:rFonts w:ascii="Gill Sans MT" w:hAnsi="Gill Sans MT" w:cs="Calibri"/>
                <w:b/>
                <w:bCs/>
                <w:color w:val="000000"/>
              </w:rPr>
              <w:t>Core Capacity 4. Diagnostic algorithm</w:t>
            </w:r>
          </w:p>
        </w:tc>
        <w:tc>
          <w:tcPr>
            <w:tcW w:w="3240" w:type="dxa"/>
            <w:tcBorders>
              <w:top w:val="single" w:sz="8" w:space="0" w:color="auto"/>
              <w:bottom w:val="single" w:sz="8" w:space="0" w:color="auto"/>
            </w:tcBorders>
            <w:shd w:val="clear" w:color="auto" w:fill="auto"/>
            <w:noWrap/>
            <w:vAlign w:val="bottom"/>
            <w:hideMark/>
          </w:tcPr>
          <w:p w14:paraId="7CE86051" w14:textId="77777777" w:rsidR="00542CDD" w:rsidRPr="00D443CB" w:rsidRDefault="00542CDD" w:rsidP="0084715F">
            <w:pPr>
              <w:spacing w:after="0" w:line="240" w:lineRule="auto"/>
              <w:rPr>
                <w:rFonts w:ascii="Gill Sans MT" w:hAnsi="Gill Sans MT" w:cs="Calibri"/>
                <w:b/>
                <w:bCs/>
                <w:color w:val="000000"/>
              </w:rPr>
            </w:pPr>
            <w:r w:rsidRPr="00D443CB">
              <w:rPr>
                <w:rFonts w:ascii="Gill Sans MT" w:hAnsi="Gill Sans MT" w:cs="Calibri"/>
                <w:b/>
                <w:bCs/>
                <w:color w:val="000000"/>
              </w:rPr>
              <w:t>Component</w:t>
            </w:r>
          </w:p>
        </w:tc>
        <w:tc>
          <w:tcPr>
            <w:tcW w:w="990" w:type="dxa"/>
            <w:tcBorders>
              <w:top w:val="single" w:sz="8" w:space="0" w:color="auto"/>
              <w:bottom w:val="single" w:sz="8" w:space="0" w:color="auto"/>
            </w:tcBorders>
            <w:shd w:val="clear" w:color="auto" w:fill="auto"/>
            <w:noWrap/>
            <w:vAlign w:val="bottom"/>
            <w:hideMark/>
          </w:tcPr>
          <w:p w14:paraId="79C3FFE1" w14:textId="77777777" w:rsidR="00542CDD" w:rsidRPr="00D443CB" w:rsidRDefault="00542CDD" w:rsidP="0084715F">
            <w:pPr>
              <w:spacing w:after="0" w:line="240" w:lineRule="auto"/>
              <w:rPr>
                <w:rFonts w:ascii="Gill Sans MT" w:hAnsi="Gill Sans MT" w:cs="Calibri"/>
                <w:b/>
                <w:bCs/>
                <w:color w:val="000000"/>
              </w:rPr>
            </w:pPr>
            <w:r w:rsidRPr="00D443CB">
              <w:rPr>
                <w:rFonts w:ascii="Gill Sans MT" w:hAnsi="Gill Sans MT" w:cs="Calibri"/>
                <w:b/>
                <w:bCs/>
                <w:color w:val="000000"/>
              </w:rPr>
              <w:t>Stage</w:t>
            </w:r>
          </w:p>
        </w:tc>
      </w:tr>
      <w:tr w:rsidR="00542CDD" w:rsidRPr="00D443CB" w14:paraId="766857EA" w14:textId="77777777" w:rsidTr="00285463">
        <w:trPr>
          <w:trHeight w:val="288"/>
        </w:trPr>
        <w:tc>
          <w:tcPr>
            <w:tcW w:w="4472" w:type="dxa"/>
            <w:vMerge w:val="restart"/>
            <w:vAlign w:val="center"/>
            <w:hideMark/>
          </w:tcPr>
          <w:p w14:paraId="75A9A09A" w14:textId="77777777" w:rsidR="00E3737F" w:rsidRPr="00D443CB" w:rsidRDefault="00E3737F" w:rsidP="00E3737F">
            <w:pPr>
              <w:spacing w:after="0" w:line="240" w:lineRule="auto"/>
              <w:rPr>
                <w:rFonts w:ascii="Gill Sans MT" w:hAnsi="Gill Sans MT" w:cs="Calibri"/>
                <w:color w:val="000000"/>
              </w:rPr>
            </w:pPr>
            <w:r w:rsidRPr="00D443CB">
              <w:rPr>
                <w:rFonts w:ascii="Gill Sans MT" w:hAnsi="Gill Sans MT" w:cs="Calibri"/>
                <w:b/>
                <w:color w:val="000000"/>
              </w:rPr>
              <w:t>S</w:t>
            </w:r>
            <w:r w:rsidRPr="00D443CB">
              <w:rPr>
                <w:rFonts w:ascii="Gill Sans MT" w:hAnsi="Gill Sans MT" w:cs="Calibri"/>
                <w:b/>
                <w:bCs/>
                <w:color w:val="000000"/>
              </w:rPr>
              <w:t xml:space="preserve">tandard: </w:t>
            </w:r>
            <w:r w:rsidRPr="00D443CB">
              <w:rPr>
                <w:rFonts w:ascii="Gill Sans MT" w:hAnsi="Gill Sans MT" w:cs="Calibri"/>
                <w:color w:val="000000"/>
              </w:rPr>
              <w:t>Testing is performed in a manner and in facilities that guarantee safety for the staff, the customers, the community and the environment. Sufficient materials, means and skills are available throughout the system to ensure safe and secure procurement, handling, storage, transportation and disposal of samples and materials, both in routine as well as in emergency circumstances.</w:t>
            </w:r>
          </w:p>
          <w:p w14:paraId="11FB8D18"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nil"/>
              <w:bottom w:val="nil"/>
              <w:right w:val="nil"/>
            </w:tcBorders>
            <w:shd w:val="clear" w:color="auto" w:fill="auto"/>
            <w:noWrap/>
            <w:vAlign w:val="bottom"/>
            <w:hideMark/>
          </w:tcPr>
          <w:p w14:paraId="7A608A23" w14:textId="107666FE" w:rsidR="00542CDD" w:rsidRPr="00D443CB" w:rsidRDefault="00E3737F" w:rsidP="00E3737F">
            <w:pPr>
              <w:spacing w:after="0" w:line="240" w:lineRule="auto"/>
              <w:jc w:val="right"/>
              <w:rPr>
                <w:rFonts w:ascii="Gill Sans MT" w:hAnsi="Gill Sans MT" w:cs="Calibri"/>
                <w:color w:val="000000"/>
              </w:rPr>
            </w:pPr>
            <w:r w:rsidRPr="00D443CB">
              <w:rPr>
                <w:rFonts w:ascii="Gill Sans MT" w:hAnsi="Gill Sans MT" w:cs="Calibri"/>
                <w:color w:val="000000"/>
              </w:rPr>
              <w:t xml:space="preserve">Algorithm:            </w:t>
            </w:r>
            <w:r w:rsidR="00542CDD" w:rsidRPr="00D443CB">
              <w:rPr>
                <w:rFonts w:ascii="Gill Sans MT" w:hAnsi="Gill Sans MT" w:cs="Calibri"/>
                <w:color w:val="000000"/>
              </w:rPr>
              <w:t xml:space="preserve">Question </w:t>
            </w:r>
            <w:r w:rsidR="00285463" w:rsidRPr="00D443CB">
              <w:rPr>
                <w:rFonts w:ascii="Gill Sans MT" w:hAnsi="Gill Sans MT" w:cs="Calibri"/>
                <w:color w:val="000000"/>
              </w:rPr>
              <w:t>4.1.</w:t>
            </w:r>
            <w:r w:rsidR="00542CDD" w:rsidRPr="00D443CB">
              <w:rPr>
                <w:rFonts w:ascii="Gill Sans MT" w:hAnsi="Gill Sans MT" w:cs="Calibri"/>
                <w:color w:val="000000"/>
              </w:rPr>
              <w:t>1</w:t>
            </w:r>
          </w:p>
        </w:tc>
        <w:tc>
          <w:tcPr>
            <w:tcW w:w="990" w:type="dxa"/>
            <w:tcBorders>
              <w:left w:val="nil"/>
            </w:tcBorders>
            <w:shd w:val="clear" w:color="auto" w:fill="FFFF00"/>
            <w:hideMark/>
          </w:tcPr>
          <w:p w14:paraId="64A0584C"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3</w:t>
            </w:r>
          </w:p>
        </w:tc>
      </w:tr>
      <w:tr w:rsidR="00542CDD" w:rsidRPr="00D443CB" w14:paraId="2E59081B" w14:textId="77777777" w:rsidTr="00285463">
        <w:trPr>
          <w:trHeight w:val="288"/>
        </w:trPr>
        <w:tc>
          <w:tcPr>
            <w:tcW w:w="4472" w:type="dxa"/>
            <w:vMerge/>
            <w:vAlign w:val="center"/>
            <w:hideMark/>
          </w:tcPr>
          <w:p w14:paraId="1C0192F6"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nil"/>
              <w:bottom w:val="nil"/>
              <w:right w:val="nil"/>
            </w:tcBorders>
            <w:shd w:val="clear" w:color="auto" w:fill="auto"/>
            <w:noWrap/>
            <w:vAlign w:val="bottom"/>
            <w:hideMark/>
          </w:tcPr>
          <w:p w14:paraId="036FB107" w14:textId="71CB7F5A" w:rsidR="00542CDD" w:rsidRPr="00D443CB" w:rsidRDefault="00542CDD" w:rsidP="0084715F">
            <w:pPr>
              <w:spacing w:after="0" w:line="240" w:lineRule="auto"/>
              <w:jc w:val="right"/>
              <w:rPr>
                <w:rFonts w:ascii="Gill Sans MT" w:hAnsi="Gill Sans MT" w:cs="Calibri"/>
                <w:color w:val="000000"/>
              </w:rPr>
            </w:pPr>
            <w:r w:rsidRPr="00D443CB">
              <w:rPr>
                <w:rFonts w:ascii="Gill Sans MT" w:hAnsi="Gill Sans MT" w:cs="Calibri"/>
                <w:color w:val="000000"/>
              </w:rPr>
              <w:t xml:space="preserve">Question </w:t>
            </w:r>
            <w:r w:rsidR="00285463" w:rsidRPr="00D443CB">
              <w:rPr>
                <w:rFonts w:ascii="Gill Sans MT" w:hAnsi="Gill Sans MT" w:cs="Calibri"/>
                <w:color w:val="000000"/>
              </w:rPr>
              <w:t>4.1.</w:t>
            </w:r>
            <w:r w:rsidRPr="00D443CB">
              <w:rPr>
                <w:rFonts w:ascii="Gill Sans MT" w:hAnsi="Gill Sans MT" w:cs="Calibri"/>
                <w:color w:val="000000"/>
              </w:rPr>
              <w:t>2</w:t>
            </w:r>
          </w:p>
        </w:tc>
        <w:tc>
          <w:tcPr>
            <w:tcW w:w="990" w:type="dxa"/>
            <w:tcBorders>
              <w:left w:val="nil"/>
            </w:tcBorders>
            <w:shd w:val="clear" w:color="auto" w:fill="92D050"/>
            <w:hideMark/>
          </w:tcPr>
          <w:p w14:paraId="6EE6FBDC"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4</w:t>
            </w:r>
          </w:p>
        </w:tc>
      </w:tr>
      <w:tr w:rsidR="00542CDD" w:rsidRPr="00D443CB" w14:paraId="150B2544" w14:textId="77777777" w:rsidTr="00285463">
        <w:trPr>
          <w:trHeight w:val="288"/>
        </w:trPr>
        <w:tc>
          <w:tcPr>
            <w:tcW w:w="4472" w:type="dxa"/>
            <w:vMerge/>
            <w:vAlign w:val="center"/>
            <w:hideMark/>
          </w:tcPr>
          <w:p w14:paraId="2898BDEA"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nil"/>
              <w:bottom w:val="nil"/>
              <w:right w:val="nil"/>
            </w:tcBorders>
            <w:shd w:val="clear" w:color="auto" w:fill="auto"/>
            <w:noWrap/>
            <w:vAlign w:val="bottom"/>
            <w:hideMark/>
          </w:tcPr>
          <w:p w14:paraId="06BA8624" w14:textId="4567068F" w:rsidR="00542CDD" w:rsidRPr="00D443CB" w:rsidRDefault="00542CDD" w:rsidP="0084715F">
            <w:pPr>
              <w:spacing w:after="0" w:line="240" w:lineRule="auto"/>
              <w:jc w:val="right"/>
              <w:rPr>
                <w:rFonts w:ascii="Gill Sans MT" w:hAnsi="Gill Sans MT" w:cs="Calibri"/>
                <w:color w:val="000000"/>
              </w:rPr>
            </w:pPr>
            <w:r w:rsidRPr="00D443CB">
              <w:rPr>
                <w:rFonts w:ascii="Gill Sans MT" w:hAnsi="Gill Sans MT" w:cs="Calibri"/>
                <w:color w:val="000000"/>
              </w:rPr>
              <w:t xml:space="preserve">Question </w:t>
            </w:r>
            <w:r w:rsidR="00285463" w:rsidRPr="00D443CB">
              <w:rPr>
                <w:rFonts w:ascii="Gill Sans MT" w:hAnsi="Gill Sans MT" w:cs="Calibri"/>
                <w:color w:val="000000"/>
              </w:rPr>
              <w:t>4.1.</w:t>
            </w:r>
            <w:r w:rsidRPr="00D443CB">
              <w:rPr>
                <w:rFonts w:ascii="Gill Sans MT" w:hAnsi="Gill Sans MT" w:cs="Calibri"/>
                <w:color w:val="000000"/>
              </w:rPr>
              <w:t>3</w:t>
            </w:r>
          </w:p>
        </w:tc>
        <w:tc>
          <w:tcPr>
            <w:tcW w:w="990" w:type="dxa"/>
            <w:tcBorders>
              <w:left w:val="nil"/>
              <w:bottom w:val="nil"/>
            </w:tcBorders>
            <w:shd w:val="clear" w:color="auto" w:fill="00B0F0"/>
            <w:hideMark/>
          </w:tcPr>
          <w:p w14:paraId="3CB8B52C"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5</w:t>
            </w:r>
          </w:p>
        </w:tc>
      </w:tr>
      <w:tr w:rsidR="00542CDD" w:rsidRPr="00D443CB" w14:paraId="2C136C2C" w14:textId="77777777" w:rsidTr="00285463">
        <w:trPr>
          <w:trHeight w:val="288"/>
        </w:trPr>
        <w:tc>
          <w:tcPr>
            <w:tcW w:w="4472" w:type="dxa"/>
            <w:vMerge/>
            <w:vAlign w:val="center"/>
          </w:tcPr>
          <w:p w14:paraId="67A151BB"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nil"/>
              <w:bottom w:val="nil"/>
              <w:right w:val="nil"/>
            </w:tcBorders>
            <w:shd w:val="clear" w:color="auto" w:fill="auto"/>
            <w:noWrap/>
            <w:vAlign w:val="bottom"/>
          </w:tcPr>
          <w:p w14:paraId="32C95D55" w14:textId="262EE216" w:rsidR="00542CDD" w:rsidRPr="00D443CB" w:rsidRDefault="00542CDD" w:rsidP="0084715F">
            <w:pPr>
              <w:spacing w:after="0" w:line="240" w:lineRule="auto"/>
              <w:jc w:val="right"/>
              <w:rPr>
                <w:rFonts w:ascii="Gill Sans MT" w:hAnsi="Gill Sans MT" w:cs="Calibri"/>
                <w:color w:val="000000"/>
              </w:rPr>
            </w:pPr>
            <w:r w:rsidRPr="00D443CB">
              <w:rPr>
                <w:rFonts w:ascii="Gill Sans MT" w:hAnsi="Gill Sans MT" w:cs="Calibri"/>
                <w:color w:val="000000"/>
              </w:rPr>
              <w:t>Question</w:t>
            </w:r>
            <w:r w:rsidR="001D746C" w:rsidRPr="00D443CB">
              <w:rPr>
                <w:rFonts w:ascii="Gill Sans MT" w:hAnsi="Gill Sans MT" w:cs="Calibri"/>
                <w:color w:val="000000"/>
              </w:rPr>
              <w:t xml:space="preserve"> </w:t>
            </w:r>
            <w:r w:rsidR="00285463" w:rsidRPr="00D443CB">
              <w:rPr>
                <w:rFonts w:ascii="Gill Sans MT" w:hAnsi="Gill Sans MT" w:cs="Calibri"/>
                <w:color w:val="000000"/>
              </w:rPr>
              <w:t>4.1.</w:t>
            </w:r>
            <w:r w:rsidRPr="00D443CB">
              <w:rPr>
                <w:rFonts w:ascii="Gill Sans MT" w:hAnsi="Gill Sans MT" w:cs="Calibri"/>
                <w:color w:val="000000"/>
              </w:rPr>
              <w:t>4</w:t>
            </w:r>
          </w:p>
        </w:tc>
        <w:tc>
          <w:tcPr>
            <w:tcW w:w="990" w:type="dxa"/>
            <w:tcBorders>
              <w:top w:val="nil"/>
              <w:left w:val="nil"/>
              <w:bottom w:val="nil"/>
            </w:tcBorders>
            <w:shd w:val="clear" w:color="auto" w:fill="FFC000"/>
          </w:tcPr>
          <w:p w14:paraId="720E5D05"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2</w:t>
            </w:r>
          </w:p>
        </w:tc>
      </w:tr>
      <w:tr w:rsidR="00542CDD" w:rsidRPr="00D443CB" w14:paraId="223CF883" w14:textId="77777777" w:rsidTr="00285463">
        <w:trPr>
          <w:trHeight w:val="288"/>
        </w:trPr>
        <w:tc>
          <w:tcPr>
            <w:tcW w:w="4472" w:type="dxa"/>
            <w:vMerge/>
            <w:vAlign w:val="center"/>
          </w:tcPr>
          <w:p w14:paraId="0029A86F"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nil"/>
              <w:bottom w:val="single" w:sz="8" w:space="0" w:color="auto"/>
              <w:right w:val="nil"/>
            </w:tcBorders>
            <w:shd w:val="clear" w:color="auto" w:fill="auto"/>
            <w:noWrap/>
            <w:vAlign w:val="bottom"/>
          </w:tcPr>
          <w:p w14:paraId="592F52A2" w14:textId="6FA41E09" w:rsidR="00542CDD" w:rsidRPr="00D443CB" w:rsidRDefault="00542CDD" w:rsidP="0084715F">
            <w:pPr>
              <w:spacing w:after="0" w:line="240" w:lineRule="auto"/>
              <w:jc w:val="right"/>
              <w:rPr>
                <w:rFonts w:ascii="Gill Sans MT" w:hAnsi="Gill Sans MT" w:cs="Calibri"/>
                <w:color w:val="000000"/>
              </w:rPr>
            </w:pPr>
            <w:r w:rsidRPr="00D443CB">
              <w:rPr>
                <w:rFonts w:ascii="Gill Sans MT" w:hAnsi="Gill Sans MT" w:cs="Calibri"/>
                <w:color w:val="000000"/>
              </w:rPr>
              <w:t>Question</w:t>
            </w:r>
            <w:r w:rsidR="001D746C" w:rsidRPr="00D443CB">
              <w:rPr>
                <w:rFonts w:ascii="Gill Sans MT" w:hAnsi="Gill Sans MT" w:cs="Calibri"/>
                <w:color w:val="000000"/>
              </w:rPr>
              <w:t xml:space="preserve"> </w:t>
            </w:r>
            <w:r w:rsidR="00285463" w:rsidRPr="00D443CB">
              <w:rPr>
                <w:rFonts w:ascii="Gill Sans MT" w:hAnsi="Gill Sans MT" w:cs="Calibri"/>
                <w:color w:val="000000"/>
              </w:rPr>
              <w:t>4.1.</w:t>
            </w:r>
            <w:r w:rsidRPr="00D443CB">
              <w:rPr>
                <w:rFonts w:ascii="Gill Sans MT" w:hAnsi="Gill Sans MT" w:cs="Calibri"/>
                <w:color w:val="000000"/>
              </w:rPr>
              <w:t>5</w:t>
            </w:r>
          </w:p>
        </w:tc>
        <w:tc>
          <w:tcPr>
            <w:tcW w:w="990" w:type="dxa"/>
            <w:tcBorders>
              <w:top w:val="nil"/>
              <w:left w:val="nil"/>
              <w:bottom w:val="single" w:sz="8" w:space="0" w:color="auto"/>
            </w:tcBorders>
            <w:shd w:val="clear" w:color="auto" w:fill="FF0000"/>
          </w:tcPr>
          <w:p w14:paraId="0782066B"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1</w:t>
            </w:r>
          </w:p>
        </w:tc>
      </w:tr>
      <w:tr w:rsidR="00542CDD" w:rsidRPr="00D443CB" w14:paraId="189BE630" w14:textId="77777777" w:rsidTr="00285463">
        <w:trPr>
          <w:trHeight w:val="288"/>
        </w:trPr>
        <w:tc>
          <w:tcPr>
            <w:tcW w:w="4472" w:type="dxa"/>
            <w:vMerge/>
            <w:vAlign w:val="center"/>
            <w:hideMark/>
          </w:tcPr>
          <w:p w14:paraId="20D7AAB8"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single" w:sz="8" w:space="0" w:color="auto"/>
              <w:bottom w:val="single" w:sz="8" w:space="0" w:color="auto"/>
              <w:right w:val="nil"/>
            </w:tcBorders>
            <w:shd w:val="clear" w:color="auto" w:fill="auto"/>
            <w:noWrap/>
            <w:vAlign w:val="bottom"/>
            <w:hideMark/>
          </w:tcPr>
          <w:p w14:paraId="0CBD1822" w14:textId="09E469E2" w:rsidR="00542CDD" w:rsidRPr="00D443CB" w:rsidRDefault="00285463" w:rsidP="00E3737F">
            <w:pPr>
              <w:spacing w:after="0" w:line="240" w:lineRule="auto"/>
              <w:rPr>
                <w:rFonts w:ascii="Gill Sans MT" w:hAnsi="Gill Sans MT" w:cs="Calibri"/>
                <w:color w:val="000000"/>
              </w:rPr>
            </w:pPr>
            <w:r w:rsidRPr="00D443CB">
              <w:rPr>
                <w:rFonts w:ascii="Gill Sans MT" w:hAnsi="Gill Sans MT" w:cs="Calibri"/>
                <w:color w:val="000000"/>
              </w:rPr>
              <w:t xml:space="preserve">TB </w:t>
            </w:r>
            <w:r w:rsidR="00E3737F" w:rsidRPr="00D443CB">
              <w:rPr>
                <w:rFonts w:ascii="Gill Sans MT" w:hAnsi="Gill Sans MT" w:cs="Calibri"/>
                <w:color w:val="000000"/>
              </w:rPr>
              <w:t xml:space="preserve">Detection:  </w:t>
            </w:r>
            <w:r w:rsidRPr="00D443CB">
              <w:rPr>
                <w:rFonts w:ascii="Gill Sans MT" w:hAnsi="Gill Sans MT" w:cs="Calibri"/>
                <w:color w:val="000000"/>
              </w:rPr>
              <w:t xml:space="preserve">        </w:t>
            </w:r>
            <w:r w:rsidR="00542CDD" w:rsidRPr="00D443CB">
              <w:rPr>
                <w:rFonts w:ascii="Gill Sans MT" w:hAnsi="Gill Sans MT" w:cs="Calibri"/>
                <w:color w:val="000000"/>
              </w:rPr>
              <w:t xml:space="preserve">Question </w:t>
            </w:r>
            <w:r w:rsidRPr="00D443CB">
              <w:rPr>
                <w:rFonts w:ascii="Gill Sans MT" w:hAnsi="Gill Sans MT" w:cs="Calibri"/>
                <w:color w:val="000000"/>
              </w:rPr>
              <w:t>4.2.</w:t>
            </w:r>
            <w:r w:rsidR="00542CDD" w:rsidRPr="00D443CB">
              <w:rPr>
                <w:rFonts w:ascii="Gill Sans MT" w:hAnsi="Gill Sans MT" w:cs="Calibri"/>
                <w:color w:val="000000"/>
              </w:rPr>
              <w:t>1</w:t>
            </w:r>
          </w:p>
        </w:tc>
        <w:tc>
          <w:tcPr>
            <w:tcW w:w="990" w:type="dxa"/>
            <w:tcBorders>
              <w:top w:val="single" w:sz="8" w:space="0" w:color="auto"/>
              <w:left w:val="nil"/>
              <w:bottom w:val="single" w:sz="8" w:space="0" w:color="auto"/>
            </w:tcBorders>
            <w:shd w:val="clear" w:color="000000" w:fill="FFFF00"/>
            <w:hideMark/>
          </w:tcPr>
          <w:p w14:paraId="4D53882C"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3</w:t>
            </w:r>
          </w:p>
        </w:tc>
      </w:tr>
      <w:tr w:rsidR="00542CDD" w:rsidRPr="00D443CB" w14:paraId="69B4BE22" w14:textId="77777777" w:rsidTr="00285463">
        <w:trPr>
          <w:trHeight w:val="288"/>
        </w:trPr>
        <w:tc>
          <w:tcPr>
            <w:tcW w:w="4472" w:type="dxa"/>
            <w:vMerge/>
            <w:vAlign w:val="center"/>
            <w:hideMark/>
          </w:tcPr>
          <w:p w14:paraId="63F190C7"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single" w:sz="8" w:space="0" w:color="auto"/>
              <w:bottom w:val="nil"/>
              <w:right w:val="nil"/>
            </w:tcBorders>
            <w:shd w:val="clear" w:color="auto" w:fill="auto"/>
            <w:noWrap/>
            <w:vAlign w:val="bottom"/>
            <w:hideMark/>
          </w:tcPr>
          <w:p w14:paraId="454C013A" w14:textId="3523077C" w:rsidR="00542CDD" w:rsidRPr="00D443CB" w:rsidRDefault="00285463" w:rsidP="00E3737F">
            <w:pPr>
              <w:spacing w:after="0" w:line="240" w:lineRule="auto"/>
              <w:rPr>
                <w:rFonts w:ascii="Gill Sans MT" w:hAnsi="Gill Sans MT" w:cs="Calibri"/>
                <w:color w:val="000000"/>
              </w:rPr>
            </w:pPr>
            <w:r w:rsidRPr="00D443CB">
              <w:rPr>
                <w:rFonts w:ascii="Gill Sans MT" w:hAnsi="Gill Sans MT" w:cs="Calibri"/>
                <w:color w:val="000000"/>
              </w:rPr>
              <w:t xml:space="preserve">DR-TB </w:t>
            </w:r>
            <w:r w:rsidR="00E3737F" w:rsidRPr="00D443CB">
              <w:rPr>
                <w:rFonts w:ascii="Gill Sans MT" w:hAnsi="Gill Sans MT" w:cs="Calibri"/>
                <w:color w:val="000000"/>
              </w:rPr>
              <w:t>Detection</w:t>
            </w:r>
            <w:r w:rsidRPr="00D443CB">
              <w:rPr>
                <w:rFonts w:ascii="Gill Sans MT" w:hAnsi="Gill Sans MT" w:cs="Calibri"/>
                <w:color w:val="000000"/>
              </w:rPr>
              <w:t xml:space="preserve">:   </w:t>
            </w:r>
            <w:r w:rsidR="00542CDD" w:rsidRPr="00D443CB">
              <w:rPr>
                <w:rFonts w:ascii="Gill Sans MT" w:hAnsi="Gill Sans MT" w:cs="Calibri"/>
                <w:color w:val="000000"/>
              </w:rPr>
              <w:t xml:space="preserve">Question </w:t>
            </w:r>
            <w:r w:rsidRPr="00D443CB">
              <w:rPr>
                <w:rFonts w:ascii="Gill Sans MT" w:hAnsi="Gill Sans MT" w:cs="Calibri"/>
                <w:color w:val="000000"/>
              </w:rPr>
              <w:t>4.3.</w:t>
            </w:r>
            <w:r w:rsidR="00542CDD" w:rsidRPr="00D443CB">
              <w:rPr>
                <w:rFonts w:ascii="Gill Sans MT" w:hAnsi="Gill Sans MT" w:cs="Calibri"/>
                <w:color w:val="000000"/>
              </w:rPr>
              <w:t>1</w:t>
            </w:r>
          </w:p>
        </w:tc>
        <w:tc>
          <w:tcPr>
            <w:tcW w:w="990" w:type="dxa"/>
            <w:tcBorders>
              <w:top w:val="single" w:sz="8" w:space="0" w:color="auto"/>
              <w:left w:val="nil"/>
            </w:tcBorders>
            <w:shd w:val="clear" w:color="000000" w:fill="FFFF00"/>
            <w:hideMark/>
          </w:tcPr>
          <w:p w14:paraId="0FD7ED3C"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3</w:t>
            </w:r>
          </w:p>
        </w:tc>
      </w:tr>
      <w:tr w:rsidR="00542CDD" w:rsidRPr="00D443CB" w14:paraId="74475211" w14:textId="77777777" w:rsidTr="00285463">
        <w:trPr>
          <w:trHeight w:val="288"/>
        </w:trPr>
        <w:tc>
          <w:tcPr>
            <w:tcW w:w="4472" w:type="dxa"/>
            <w:vMerge/>
            <w:vAlign w:val="center"/>
          </w:tcPr>
          <w:p w14:paraId="55EF060D"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nil"/>
              <w:bottom w:val="nil"/>
              <w:right w:val="nil"/>
            </w:tcBorders>
            <w:shd w:val="clear" w:color="auto" w:fill="auto"/>
            <w:noWrap/>
            <w:vAlign w:val="bottom"/>
          </w:tcPr>
          <w:p w14:paraId="4DC8098C" w14:textId="099120D4" w:rsidR="00542CDD" w:rsidRPr="00D443CB" w:rsidRDefault="00542CDD" w:rsidP="0084715F">
            <w:pPr>
              <w:spacing w:after="0" w:line="240" w:lineRule="auto"/>
              <w:jc w:val="right"/>
              <w:rPr>
                <w:rFonts w:ascii="Gill Sans MT" w:hAnsi="Gill Sans MT" w:cs="Calibri"/>
                <w:color w:val="000000"/>
              </w:rPr>
            </w:pPr>
            <w:r w:rsidRPr="00D443CB">
              <w:rPr>
                <w:rFonts w:ascii="Gill Sans MT" w:hAnsi="Gill Sans MT" w:cs="Calibri"/>
                <w:color w:val="000000"/>
              </w:rPr>
              <w:t xml:space="preserve">Question </w:t>
            </w:r>
            <w:r w:rsidR="00285463" w:rsidRPr="00D443CB">
              <w:rPr>
                <w:rFonts w:ascii="Gill Sans MT" w:hAnsi="Gill Sans MT" w:cs="Calibri"/>
                <w:color w:val="000000"/>
              </w:rPr>
              <w:t>4.3.</w:t>
            </w:r>
            <w:r w:rsidRPr="00D443CB">
              <w:rPr>
                <w:rFonts w:ascii="Gill Sans MT" w:hAnsi="Gill Sans MT" w:cs="Calibri"/>
                <w:color w:val="000000"/>
              </w:rPr>
              <w:t>2</w:t>
            </w:r>
          </w:p>
        </w:tc>
        <w:tc>
          <w:tcPr>
            <w:tcW w:w="990" w:type="dxa"/>
            <w:tcBorders>
              <w:top w:val="nil"/>
              <w:left w:val="nil"/>
            </w:tcBorders>
            <w:shd w:val="clear" w:color="auto" w:fill="FF0000"/>
          </w:tcPr>
          <w:p w14:paraId="0E231E1F" w14:textId="77777777" w:rsidR="00542CDD" w:rsidRPr="00D443CB" w:rsidRDefault="00542CDD" w:rsidP="0084715F">
            <w:pPr>
              <w:spacing w:after="0" w:line="240" w:lineRule="auto"/>
              <w:jc w:val="center"/>
              <w:rPr>
                <w:rFonts w:ascii="Gill Sans MT" w:hAnsi="Gill Sans MT" w:cs="Calibri"/>
                <w:b/>
                <w:bCs/>
              </w:rPr>
            </w:pPr>
            <w:r w:rsidRPr="00D443CB">
              <w:rPr>
                <w:rFonts w:ascii="Gill Sans MT" w:hAnsi="Gill Sans MT" w:cs="Calibri"/>
                <w:b/>
                <w:bCs/>
              </w:rPr>
              <w:t>1</w:t>
            </w:r>
          </w:p>
        </w:tc>
      </w:tr>
      <w:tr w:rsidR="00542CDD" w:rsidRPr="00D443CB" w14:paraId="54F87F12" w14:textId="77777777" w:rsidTr="00285463">
        <w:trPr>
          <w:trHeight w:val="288"/>
        </w:trPr>
        <w:tc>
          <w:tcPr>
            <w:tcW w:w="4472" w:type="dxa"/>
            <w:vMerge/>
            <w:tcBorders>
              <w:bottom w:val="single" w:sz="8" w:space="0" w:color="auto"/>
            </w:tcBorders>
            <w:vAlign w:val="center"/>
            <w:hideMark/>
          </w:tcPr>
          <w:p w14:paraId="6F2448F7" w14:textId="77777777" w:rsidR="00542CDD" w:rsidRPr="00D443CB" w:rsidRDefault="00542CDD" w:rsidP="0084715F">
            <w:pPr>
              <w:spacing w:after="0" w:line="240" w:lineRule="auto"/>
              <w:rPr>
                <w:rFonts w:ascii="Gill Sans MT" w:hAnsi="Gill Sans MT" w:cs="Calibri"/>
                <w:color w:val="000000"/>
              </w:rPr>
            </w:pPr>
          </w:p>
        </w:tc>
        <w:tc>
          <w:tcPr>
            <w:tcW w:w="3240" w:type="dxa"/>
            <w:tcBorders>
              <w:top w:val="single" w:sz="8" w:space="0" w:color="auto"/>
              <w:bottom w:val="single" w:sz="8" w:space="0" w:color="auto"/>
              <w:right w:val="nil"/>
            </w:tcBorders>
            <w:shd w:val="clear" w:color="auto" w:fill="auto"/>
            <w:noWrap/>
            <w:vAlign w:val="bottom"/>
            <w:hideMark/>
          </w:tcPr>
          <w:p w14:paraId="5E10100F" w14:textId="77777777" w:rsidR="00542CDD" w:rsidRPr="00D443CB" w:rsidRDefault="00542CDD" w:rsidP="0084715F">
            <w:pPr>
              <w:spacing w:after="0" w:line="240" w:lineRule="auto"/>
              <w:jc w:val="right"/>
              <w:rPr>
                <w:rFonts w:ascii="Gill Sans MT" w:hAnsi="Gill Sans MT" w:cs="Calibri"/>
                <w:color w:val="000000"/>
              </w:rPr>
            </w:pPr>
            <w:r w:rsidRPr="00D443CB">
              <w:rPr>
                <w:rFonts w:ascii="Gill Sans MT" w:hAnsi="Gill Sans MT" w:cs="Calibri"/>
                <w:color w:val="000000"/>
              </w:rPr>
              <w:t>Total</w:t>
            </w:r>
          </w:p>
        </w:tc>
        <w:tc>
          <w:tcPr>
            <w:tcW w:w="990" w:type="dxa"/>
            <w:tcBorders>
              <w:top w:val="single" w:sz="8" w:space="0" w:color="auto"/>
              <w:left w:val="nil"/>
              <w:bottom w:val="single" w:sz="8" w:space="0" w:color="auto"/>
            </w:tcBorders>
            <w:shd w:val="clear" w:color="auto" w:fill="auto"/>
            <w:noWrap/>
            <w:vAlign w:val="bottom"/>
            <w:hideMark/>
          </w:tcPr>
          <w:p w14:paraId="2944F1AF" w14:textId="77777777" w:rsidR="00542CDD" w:rsidRPr="00D443CB" w:rsidRDefault="00542CDD" w:rsidP="0084715F">
            <w:pPr>
              <w:spacing w:after="0" w:line="240" w:lineRule="auto"/>
              <w:jc w:val="center"/>
              <w:rPr>
                <w:rFonts w:ascii="Gill Sans MT" w:hAnsi="Gill Sans MT" w:cs="Calibri"/>
                <w:color w:val="000000"/>
              </w:rPr>
            </w:pPr>
            <w:r w:rsidRPr="00D443CB">
              <w:rPr>
                <w:rFonts w:ascii="Gill Sans MT" w:hAnsi="Gill Sans MT" w:cs="Calibri"/>
                <w:color w:val="000000"/>
              </w:rPr>
              <w:t>22</w:t>
            </w:r>
          </w:p>
        </w:tc>
      </w:tr>
    </w:tbl>
    <w:p w14:paraId="292A9D22" w14:textId="77777777" w:rsidR="00542CDD" w:rsidRPr="00D443CB" w:rsidRDefault="00542CDD" w:rsidP="008E1E46">
      <w:pPr>
        <w:spacing w:after="0" w:line="240" w:lineRule="auto"/>
        <w:ind w:right="720"/>
        <w:rPr>
          <w:rFonts w:ascii="Gill Sans MT" w:hAnsi="Gill Sans MT"/>
          <w:b/>
        </w:rPr>
      </w:pPr>
    </w:p>
    <w:p w14:paraId="58049023" w14:textId="0CBBF595" w:rsidR="004B0776" w:rsidRPr="00D443CB" w:rsidRDefault="004B0776" w:rsidP="008E1E46">
      <w:pPr>
        <w:spacing w:after="0" w:line="240" w:lineRule="auto"/>
        <w:ind w:right="720" w:firstLine="720"/>
        <w:rPr>
          <w:rFonts w:ascii="Gill Sans MT" w:hAnsi="Gill Sans MT"/>
        </w:rPr>
      </w:pPr>
      <w:r w:rsidRPr="00D443CB">
        <w:rPr>
          <w:rFonts w:ascii="Gill Sans MT" w:hAnsi="Gill Sans MT"/>
          <w:b/>
        </w:rPr>
        <w:lastRenderedPageBreak/>
        <w:t xml:space="preserve">Figure </w:t>
      </w:r>
      <w:r w:rsidR="00855F2B" w:rsidRPr="00D443CB">
        <w:rPr>
          <w:rFonts w:ascii="Gill Sans MT" w:hAnsi="Gill Sans MT"/>
          <w:b/>
        </w:rPr>
        <w:t>3</w:t>
      </w:r>
      <w:r w:rsidRPr="00D443CB">
        <w:rPr>
          <w:rFonts w:ascii="Gill Sans MT" w:hAnsi="Gill Sans MT"/>
          <w:b/>
        </w:rPr>
        <w:t>.</w:t>
      </w:r>
      <w:r w:rsidRPr="00D443CB">
        <w:rPr>
          <w:rFonts w:ascii="Gill Sans MT" w:hAnsi="Gill Sans MT"/>
        </w:rPr>
        <w:t xml:space="preserve"> Determining Progress Towards 100% Capability for a Core Capacity</w:t>
      </w:r>
    </w:p>
    <w:p w14:paraId="2DFF1E04" w14:textId="77777777" w:rsidR="00DD2EA2" w:rsidRPr="00D443CB" w:rsidRDefault="00DD2EA2" w:rsidP="003F0903">
      <w:pPr>
        <w:spacing w:after="0" w:line="240" w:lineRule="auto"/>
        <w:rPr>
          <w:rFonts w:ascii="Gill Sans MT" w:hAnsi="Gill Sans MT"/>
        </w:rPr>
      </w:pPr>
    </w:p>
    <w:p w14:paraId="0C4C08B0" w14:textId="1F0D7640" w:rsidR="004B0776" w:rsidRPr="00D443CB" w:rsidRDefault="004B0776" w:rsidP="008F79FE">
      <w:pPr>
        <w:spacing w:after="0" w:line="240" w:lineRule="auto"/>
        <w:jc w:val="both"/>
        <w:rPr>
          <w:rFonts w:ascii="Gill Sans MT" w:hAnsi="Gill Sans MT" w:cstheme="minorHAnsi"/>
        </w:rPr>
      </w:pPr>
      <w:r w:rsidRPr="00D443CB">
        <w:rPr>
          <w:rFonts w:ascii="Gill Sans MT" w:hAnsi="Gill Sans MT"/>
        </w:rPr>
        <w:t>T</w:t>
      </w:r>
      <w:r w:rsidRPr="00D443CB">
        <w:rPr>
          <w:rFonts w:ascii="Gill Sans MT" w:hAnsi="Gill Sans MT" w:cstheme="minorHAnsi"/>
        </w:rPr>
        <w:t>his analysis will provide practical information on the actions required to achieve 100% capability within each core capacity. Note that reaching 100% for each and every core capacit</w:t>
      </w:r>
      <w:r w:rsidR="00E42B39" w:rsidRPr="00D443CB">
        <w:rPr>
          <w:rFonts w:ascii="Gill Sans MT" w:hAnsi="Gill Sans MT" w:cstheme="minorHAnsi"/>
        </w:rPr>
        <w:t>y</w:t>
      </w:r>
      <w:r w:rsidRPr="00D443CB">
        <w:rPr>
          <w:rFonts w:ascii="Gill Sans MT" w:hAnsi="Gill Sans MT" w:cstheme="minorHAnsi"/>
        </w:rPr>
        <w:t xml:space="preserve"> may not be appropriate for all countries.</w:t>
      </w:r>
    </w:p>
    <w:p w14:paraId="2F2F3D45" w14:textId="77777777" w:rsidR="00DD2EA2" w:rsidRPr="00D443CB" w:rsidRDefault="00DD2EA2">
      <w:pPr>
        <w:widowControl w:val="0"/>
        <w:autoSpaceDE w:val="0"/>
        <w:autoSpaceDN w:val="0"/>
        <w:adjustRightInd w:val="0"/>
        <w:spacing w:after="0" w:line="240" w:lineRule="auto"/>
        <w:jc w:val="both"/>
        <w:rPr>
          <w:rFonts w:ascii="Gill Sans MT" w:hAnsi="Gill Sans MT" w:cstheme="minorHAnsi"/>
        </w:rPr>
      </w:pPr>
    </w:p>
    <w:p w14:paraId="135A2F95" w14:textId="7C18E2A4" w:rsidR="00FF1935" w:rsidRPr="00D443CB" w:rsidRDefault="00FF1935" w:rsidP="008F79FE">
      <w:pPr>
        <w:widowControl w:val="0"/>
        <w:autoSpaceDE w:val="0"/>
        <w:autoSpaceDN w:val="0"/>
        <w:adjustRightInd w:val="0"/>
        <w:spacing w:after="0" w:line="240" w:lineRule="auto"/>
        <w:jc w:val="both"/>
        <w:rPr>
          <w:rFonts w:ascii="Gill Sans MT" w:hAnsi="Gill Sans MT" w:cstheme="minorHAnsi"/>
          <w:color w:val="000000" w:themeColor="text1"/>
        </w:rPr>
      </w:pPr>
      <w:r w:rsidRPr="00D443CB">
        <w:rPr>
          <w:rFonts w:ascii="Gill Sans MT" w:hAnsi="Gill Sans MT" w:cstheme="minorHAnsi"/>
        </w:rPr>
        <w:t xml:space="preserve">The </w:t>
      </w:r>
      <w:r w:rsidR="005805FA" w:rsidRPr="00D443CB">
        <w:rPr>
          <w:rFonts w:ascii="Gill Sans MT" w:hAnsi="Gill Sans MT" w:cstheme="minorHAnsi"/>
        </w:rPr>
        <w:t>TB-Net Tool</w:t>
      </w:r>
      <w:r w:rsidR="00005BF9" w:rsidRPr="00D443CB">
        <w:rPr>
          <w:rFonts w:ascii="Gill Sans MT" w:hAnsi="Gill Sans MT" w:cstheme="minorHAnsi"/>
        </w:rPr>
        <w:t xml:space="preserve"> </w:t>
      </w:r>
      <w:r w:rsidRPr="00D443CB">
        <w:rPr>
          <w:rFonts w:ascii="Gill Sans MT" w:hAnsi="Gill Sans MT" w:cstheme="minorHAnsi"/>
        </w:rPr>
        <w:t>is provided in a PDF f</w:t>
      </w:r>
      <w:r w:rsidR="00A81D7C" w:rsidRPr="00D443CB">
        <w:rPr>
          <w:rFonts w:ascii="Gill Sans MT" w:hAnsi="Gill Sans MT" w:cstheme="minorHAnsi"/>
        </w:rPr>
        <w:t>ile</w:t>
      </w:r>
      <w:r w:rsidRPr="00D443CB">
        <w:rPr>
          <w:rFonts w:ascii="Gill Sans MT" w:hAnsi="Gill Sans MT" w:cstheme="minorHAnsi"/>
        </w:rPr>
        <w:t xml:space="preserve"> that can easily be printed but also as Excel files. The questions are exactly the same in the PDF and Excel format. Worksheets 1 to </w:t>
      </w:r>
      <w:r w:rsidR="00F753FF" w:rsidRPr="00D443CB">
        <w:rPr>
          <w:rFonts w:ascii="Gill Sans MT" w:hAnsi="Gill Sans MT" w:cstheme="minorHAnsi"/>
        </w:rPr>
        <w:t>10</w:t>
      </w:r>
      <w:r w:rsidRPr="00D443CB">
        <w:rPr>
          <w:rFonts w:ascii="Gill Sans MT" w:hAnsi="Gill Sans MT" w:cstheme="minorHAnsi"/>
        </w:rPr>
        <w:t xml:space="preserve"> correspond to the </w:t>
      </w:r>
      <w:r w:rsidR="00F753FF" w:rsidRPr="00D443CB">
        <w:rPr>
          <w:rFonts w:ascii="Gill Sans MT" w:hAnsi="Gill Sans MT" w:cstheme="minorHAnsi"/>
        </w:rPr>
        <w:t>10</w:t>
      </w:r>
      <w:r w:rsidRPr="00D443CB">
        <w:rPr>
          <w:rFonts w:ascii="Gill Sans MT" w:hAnsi="Gill Sans MT" w:cstheme="minorHAnsi"/>
        </w:rPr>
        <w:t xml:space="preserve"> core capabilities</w:t>
      </w:r>
      <w:r w:rsidR="0067149C" w:rsidRPr="00D443CB">
        <w:rPr>
          <w:rFonts w:ascii="Gill Sans MT" w:hAnsi="Gill Sans MT" w:cstheme="minorHAnsi"/>
        </w:rPr>
        <w:t>; w</w:t>
      </w:r>
      <w:r w:rsidR="001B34F8" w:rsidRPr="00D443CB">
        <w:rPr>
          <w:rFonts w:ascii="Gill Sans MT" w:hAnsi="Gill Sans MT" w:cstheme="minorHAnsi"/>
        </w:rPr>
        <w:t>orksheet 1</w:t>
      </w:r>
      <w:r w:rsidR="00F753FF" w:rsidRPr="00D443CB">
        <w:rPr>
          <w:rFonts w:ascii="Gill Sans MT" w:hAnsi="Gill Sans MT" w:cstheme="minorHAnsi"/>
        </w:rPr>
        <w:t>1</w:t>
      </w:r>
      <w:r w:rsidR="001B34F8" w:rsidRPr="00D443CB">
        <w:rPr>
          <w:rFonts w:ascii="Gill Sans MT" w:hAnsi="Gill Sans MT" w:cstheme="minorHAnsi"/>
        </w:rPr>
        <w:t xml:space="preserve"> </w:t>
      </w:r>
      <w:r w:rsidR="00EC456C" w:rsidRPr="00D443CB">
        <w:rPr>
          <w:rFonts w:ascii="Gill Sans MT" w:hAnsi="Gill Sans MT" w:cstheme="minorHAnsi"/>
        </w:rPr>
        <w:t>is a</w:t>
      </w:r>
      <w:r w:rsidRPr="00D443CB">
        <w:rPr>
          <w:rFonts w:ascii="Gill Sans MT" w:hAnsi="Gill Sans MT" w:cstheme="minorHAnsi"/>
        </w:rPr>
        <w:t xml:space="preserve"> calculation sheet providing a summary</w:t>
      </w:r>
      <w:r w:rsidR="001B34F8" w:rsidRPr="00D443CB">
        <w:rPr>
          <w:rFonts w:ascii="Gill Sans MT" w:hAnsi="Gill Sans MT" w:cstheme="minorHAnsi"/>
        </w:rPr>
        <w:t xml:space="preserve"> of the aggregated</w:t>
      </w:r>
      <w:r w:rsidR="00487D11" w:rsidRPr="00D443CB">
        <w:rPr>
          <w:rFonts w:ascii="Gill Sans MT" w:hAnsi="Gill Sans MT" w:cstheme="minorHAnsi"/>
        </w:rPr>
        <w:t xml:space="preserve"> </w:t>
      </w:r>
      <w:r w:rsidRPr="00D443CB">
        <w:rPr>
          <w:rFonts w:ascii="Gill Sans MT" w:hAnsi="Gill Sans MT" w:cstheme="minorHAnsi"/>
        </w:rPr>
        <w:t xml:space="preserve">and individual </w:t>
      </w:r>
      <w:r w:rsidR="001B34F8" w:rsidRPr="00D443CB">
        <w:rPr>
          <w:rFonts w:ascii="Gill Sans MT" w:hAnsi="Gill Sans MT" w:cstheme="minorHAnsi"/>
        </w:rPr>
        <w:t>core capab</w:t>
      </w:r>
      <w:r w:rsidR="001B34F8" w:rsidRPr="00D443CB">
        <w:rPr>
          <w:rFonts w:ascii="Gill Sans MT" w:hAnsi="Gill Sans MT" w:cstheme="minorHAnsi"/>
          <w:color w:val="000000" w:themeColor="text1"/>
        </w:rPr>
        <w:t xml:space="preserve">ility </w:t>
      </w:r>
      <w:r w:rsidRPr="00D443CB">
        <w:rPr>
          <w:rFonts w:ascii="Gill Sans MT" w:hAnsi="Gill Sans MT" w:cstheme="minorHAnsi"/>
          <w:color w:val="000000" w:themeColor="text1"/>
        </w:rPr>
        <w:t>data analyses.</w:t>
      </w:r>
    </w:p>
    <w:p w14:paraId="1656B651" w14:textId="77777777" w:rsidR="00B21754" w:rsidRPr="00D443CB" w:rsidRDefault="00B21754" w:rsidP="008F79FE">
      <w:pPr>
        <w:spacing w:after="0" w:line="240" w:lineRule="auto"/>
        <w:jc w:val="both"/>
        <w:rPr>
          <w:rFonts w:ascii="Gill Sans MT" w:hAnsi="Gill Sans MT"/>
        </w:rPr>
      </w:pPr>
    </w:p>
    <w:p w14:paraId="179CEE50" w14:textId="6D0874BF" w:rsidR="00B21754" w:rsidRPr="00D443CB" w:rsidRDefault="00B21754" w:rsidP="00FC763C">
      <w:pPr>
        <w:pStyle w:val="Heading1"/>
        <w:numPr>
          <w:ilvl w:val="0"/>
          <w:numId w:val="3"/>
        </w:numPr>
        <w:spacing w:before="0" w:line="240" w:lineRule="auto"/>
        <w:ind w:left="360"/>
        <w:rPr>
          <w:rFonts w:ascii="Gill Sans MT" w:hAnsi="Gill Sans MT" w:cs="Calibri"/>
          <w:color w:val="000000" w:themeColor="text1"/>
          <w:sz w:val="28"/>
          <w:szCs w:val="24"/>
        </w:rPr>
      </w:pPr>
      <w:bookmarkStart w:id="23" w:name="_Toc37317822"/>
      <w:r w:rsidRPr="00D443CB">
        <w:rPr>
          <w:rFonts w:ascii="Gill Sans MT" w:hAnsi="Gill Sans MT" w:cs="Calibri"/>
          <w:color w:val="000000" w:themeColor="text1"/>
          <w:sz w:val="28"/>
          <w:szCs w:val="24"/>
        </w:rPr>
        <w:t>The Assessment Process</w:t>
      </w:r>
      <w:bookmarkEnd w:id="23"/>
    </w:p>
    <w:p w14:paraId="6B67EB1A" w14:textId="77777777" w:rsidR="005536E2" w:rsidRPr="00D443CB" w:rsidRDefault="005536E2" w:rsidP="00B21754">
      <w:pPr>
        <w:spacing w:after="0" w:line="240" w:lineRule="auto"/>
        <w:rPr>
          <w:rFonts w:ascii="Gill Sans MT" w:hAnsi="Gill Sans MT"/>
        </w:rPr>
      </w:pPr>
    </w:p>
    <w:p w14:paraId="585E811F" w14:textId="65CD0380" w:rsidR="00423058" w:rsidRPr="00D443CB" w:rsidRDefault="0088405A" w:rsidP="008F79FE">
      <w:pPr>
        <w:spacing w:after="0" w:line="240" w:lineRule="auto"/>
        <w:jc w:val="both"/>
        <w:rPr>
          <w:rFonts w:ascii="Gill Sans MT" w:hAnsi="Gill Sans MT"/>
        </w:rPr>
      </w:pPr>
      <w:r w:rsidRPr="00D443CB">
        <w:rPr>
          <w:rFonts w:ascii="Gill Sans MT" w:hAnsi="Gill Sans MT"/>
        </w:rPr>
        <w:t xml:space="preserve">Although they may vary, </w:t>
      </w:r>
      <w:r w:rsidR="00B21754" w:rsidRPr="00D443CB">
        <w:rPr>
          <w:rFonts w:ascii="Gill Sans MT" w:hAnsi="Gill Sans MT"/>
        </w:rPr>
        <w:t xml:space="preserve">the key objectives of an assessment </w:t>
      </w:r>
      <w:r w:rsidR="001D746C" w:rsidRPr="00D443CB">
        <w:rPr>
          <w:rFonts w:ascii="Gill Sans MT" w:hAnsi="Gill Sans MT"/>
        </w:rPr>
        <w:t xml:space="preserve">of a TB diagnostic network </w:t>
      </w:r>
      <w:r w:rsidR="00714FA9" w:rsidRPr="00D443CB">
        <w:rPr>
          <w:rFonts w:ascii="Gill Sans MT" w:hAnsi="Gill Sans MT"/>
        </w:rPr>
        <w:t xml:space="preserve">typically </w:t>
      </w:r>
      <w:r w:rsidR="00B21754" w:rsidRPr="00D443CB">
        <w:rPr>
          <w:rFonts w:ascii="Gill Sans MT" w:hAnsi="Gill Sans MT"/>
        </w:rPr>
        <w:t>are</w:t>
      </w:r>
      <w:r w:rsidR="00423058" w:rsidRPr="00D443CB">
        <w:rPr>
          <w:rFonts w:ascii="Gill Sans MT" w:hAnsi="Gill Sans MT"/>
        </w:rPr>
        <w:t xml:space="preserve"> to:</w:t>
      </w:r>
    </w:p>
    <w:p w14:paraId="377428FC" w14:textId="4C4C6EB3" w:rsidR="00423058" w:rsidRPr="00D443CB" w:rsidRDefault="00423058" w:rsidP="00FC763C">
      <w:pPr>
        <w:pStyle w:val="ListParagraph"/>
        <w:numPr>
          <w:ilvl w:val="0"/>
          <w:numId w:val="32"/>
        </w:numPr>
        <w:spacing w:after="0" w:line="240" w:lineRule="auto"/>
        <w:jc w:val="both"/>
        <w:rPr>
          <w:rFonts w:ascii="Gill Sans MT" w:hAnsi="Gill Sans MT"/>
        </w:rPr>
      </w:pPr>
      <w:r w:rsidRPr="00D443CB">
        <w:rPr>
          <w:rFonts w:ascii="Gill Sans MT" w:hAnsi="Gill Sans MT"/>
        </w:rPr>
        <w:t>R</w:t>
      </w:r>
      <w:r w:rsidR="00B21754" w:rsidRPr="00D443CB">
        <w:rPr>
          <w:rFonts w:ascii="Gill Sans MT" w:hAnsi="Gill Sans MT"/>
        </w:rPr>
        <w:t>eview holistically the diagnostic network, current practices and algorithms</w:t>
      </w:r>
      <w:r w:rsidRPr="00D443CB">
        <w:rPr>
          <w:rFonts w:ascii="Gill Sans MT" w:hAnsi="Gill Sans MT"/>
        </w:rPr>
        <w:t>;</w:t>
      </w:r>
      <w:r w:rsidR="00B21754" w:rsidRPr="00D443CB">
        <w:rPr>
          <w:rFonts w:ascii="Gill Sans MT" w:hAnsi="Gill Sans MT"/>
        </w:rPr>
        <w:t xml:space="preserve"> </w:t>
      </w:r>
    </w:p>
    <w:p w14:paraId="20FEB843" w14:textId="19A79002" w:rsidR="00423058" w:rsidRPr="00D443CB" w:rsidRDefault="00423058" w:rsidP="00FC763C">
      <w:pPr>
        <w:pStyle w:val="ListParagraph"/>
        <w:numPr>
          <w:ilvl w:val="0"/>
          <w:numId w:val="32"/>
        </w:numPr>
        <w:spacing w:after="0" w:line="240" w:lineRule="auto"/>
        <w:jc w:val="both"/>
        <w:rPr>
          <w:rFonts w:ascii="Gill Sans MT" w:hAnsi="Gill Sans MT"/>
        </w:rPr>
      </w:pPr>
      <w:r w:rsidRPr="00D443CB">
        <w:rPr>
          <w:rFonts w:ascii="Gill Sans MT" w:hAnsi="Gill Sans MT"/>
        </w:rPr>
        <w:t>I</w:t>
      </w:r>
      <w:r w:rsidR="00B21754" w:rsidRPr="00D443CB">
        <w:rPr>
          <w:rFonts w:ascii="Gill Sans MT" w:hAnsi="Gill Sans MT"/>
        </w:rPr>
        <w:t>dentify challenges that prevent the diagnostic network from performing efficiently and effectively</w:t>
      </w:r>
      <w:r w:rsidRPr="00D443CB">
        <w:rPr>
          <w:rFonts w:ascii="Gill Sans MT" w:hAnsi="Gill Sans MT"/>
        </w:rPr>
        <w:t xml:space="preserve">; </w:t>
      </w:r>
      <w:r w:rsidR="00B21754" w:rsidRPr="00D443CB">
        <w:rPr>
          <w:rFonts w:ascii="Gill Sans MT" w:hAnsi="Gill Sans MT"/>
        </w:rPr>
        <w:t xml:space="preserve">and </w:t>
      </w:r>
    </w:p>
    <w:p w14:paraId="7A6F1EF8" w14:textId="2DB5A750" w:rsidR="00B21754" w:rsidRPr="00D443CB" w:rsidRDefault="00423058" w:rsidP="00FC763C">
      <w:pPr>
        <w:pStyle w:val="ListParagraph"/>
        <w:numPr>
          <w:ilvl w:val="0"/>
          <w:numId w:val="32"/>
        </w:numPr>
        <w:spacing w:after="0" w:line="240" w:lineRule="auto"/>
        <w:jc w:val="both"/>
        <w:rPr>
          <w:rFonts w:ascii="Gill Sans MT" w:hAnsi="Gill Sans MT"/>
        </w:rPr>
      </w:pPr>
      <w:r w:rsidRPr="00D443CB">
        <w:rPr>
          <w:rFonts w:ascii="Gill Sans MT" w:hAnsi="Gill Sans MT"/>
        </w:rPr>
        <w:t>P</w:t>
      </w:r>
      <w:r w:rsidR="00B21754" w:rsidRPr="00D443CB">
        <w:rPr>
          <w:rFonts w:ascii="Gill Sans MT" w:hAnsi="Gill Sans MT"/>
        </w:rPr>
        <w:t xml:space="preserve">ropose evidence-based interventions to improve the overall ability of the diagnostic network to meet the goals and targets of the NSP. </w:t>
      </w:r>
    </w:p>
    <w:p w14:paraId="1ED751FC" w14:textId="77777777" w:rsidR="003B65CC" w:rsidRPr="00D443CB" w:rsidRDefault="003B65CC" w:rsidP="008F79FE">
      <w:pPr>
        <w:spacing w:after="0" w:line="240" w:lineRule="auto"/>
        <w:jc w:val="both"/>
        <w:rPr>
          <w:rFonts w:ascii="Gill Sans MT" w:hAnsi="Gill Sans MT"/>
        </w:rPr>
      </w:pPr>
    </w:p>
    <w:p w14:paraId="4570F6D4" w14:textId="2DE67161" w:rsidR="003B65CC" w:rsidRPr="00D443CB" w:rsidRDefault="003B65CC" w:rsidP="008F79FE">
      <w:pPr>
        <w:spacing w:after="0" w:line="240" w:lineRule="auto"/>
        <w:jc w:val="both"/>
        <w:rPr>
          <w:rFonts w:ascii="Gill Sans MT" w:hAnsi="Gill Sans MT"/>
        </w:rPr>
      </w:pPr>
      <w:r w:rsidRPr="00D443CB">
        <w:rPr>
          <w:rFonts w:ascii="Gill Sans MT" w:hAnsi="Gill Sans MT"/>
        </w:rPr>
        <w:t>The assessment should be conducted by a team of TB laboratory, diagnostic network, and program experts. The team may be composed of national experts, international experts or both. The team of external experts (</w:t>
      </w:r>
      <w:r w:rsidR="006574D2" w:rsidRPr="00D443CB">
        <w:rPr>
          <w:rFonts w:ascii="Gill Sans MT" w:hAnsi="Gill Sans MT"/>
        </w:rPr>
        <w:t>i.e.</w:t>
      </w:r>
      <w:r w:rsidRPr="00D443CB">
        <w:rPr>
          <w:rFonts w:ascii="Gill Sans MT" w:hAnsi="Gill Sans MT"/>
        </w:rPr>
        <w:t>, persons not associated with the TB program or diagnostic network being evaluated) may be assisted by internal program and laboratory experts (</w:t>
      </w:r>
      <w:r w:rsidR="006574D2" w:rsidRPr="00D443CB">
        <w:rPr>
          <w:rFonts w:ascii="Gill Sans MT" w:hAnsi="Gill Sans MT"/>
        </w:rPr>
        <w:t>i.e.</w:t>
      </w:r>
      <w:r w:rsidRPr="00D443CB">
        <w:rPr>
          <w:rFonts w:ascii="Gill Sans MT" w:hAnsi="Gill Sans MT"/>
        </w:rPr>
        <w:t xml:space="preserve">, persons associated with the national </w:t>
      </w:r>
      <w:r w:rsidR="007622C9" w:rsidRPr="00D443CB">
        <w:rPr>
          <w:rFonts w:ascii="Gill Sans MT" w:hAnsi="Gill Sans MT"/>
        </w:rPr>
        <w:t>program</w:t>
      </w:r>
      <w:r w:rsidRPr="00D443CB">
        <w:rPr>
          <w:rFonts w:ascii="Gill Sans MT" w:hAnsi="Gill Sans MT"/>
        </w:rPr>
        <w:t xml:space="preserve"> or laboratory network). </w:t>
      </w:r>
      <w:r w:rsidR="001D746C" w:rsidRPr="00D443CB">
        <w:rPr>
          <w:rFonts w:ascii="Gill Sans MT" w:hAnsi="Gill Sans MT"/>
        </w:rPr>
        <w:t>The assessment team</w:t>
      </w:r>
      <w:r w:rsidRPr="00D443CB">
        <w:rPr>
          <w:rFonts w:ascii="Gill Sans MT" w:hAnsi="Gill Sans MT"/>
        </w:rPr>
        <w:t xml:space="preserve"> should </w:t>
      </w:r>
      <w:r w:rsidR="001D746C" w:rsidRPr="00D443CB">
        <w:rPr>
          <w:rFonts w:ascii="Gill Sans MT" w:hAnsi="Gill Sans MT"/>
        </w:rPr>
        <w:t>include experts to cover</w:t>
      </w:r>
      <w:r w:rsidRPr="00D443CB">
        <w:rPr>
          <w:rFonts w:ascii="Gill Sans MT" w:hAnsi="Gill Sans MT"/>
        </w:rPr>
        <w:t xml:space="preserve"> the range of diagnostic network components </w:t>
      </w:r>
      <w:r w:rsidR="0057566A" w:rsidRPr="00D443CB">
        <w:rPr>
          <w:rFonts w:ascii="Gill Sans MT" w:hAnsi="Gill Sans MT"/>
        </w:rPr>
        <w:t>to be evaluated</w:t>
      </w:r>
      <w:r w:rsidRPr="00D443CB">
        <w:rPr>
          <w:rFonts w:ascii="Gill Sans MT" w:hAnsi="Gill Sans MT"/>
        </w:rPr>
        <w:t xml:space="preserve">. All efforts should be made to ensure that there </w:t>
      </w:r>
      <w:r w:rsidR="00423058" w:rsidRPr="00D443CB">
        <w:rPr>
          <w:rFonts w:ascii="Gill Sans MT" w:hAnsi="Gill Sans MT"/>
        </w:rPr>
        <w:t xml:space="preserve">are </w:t>
      </w:r>
      <w:r w:rsidRPr="00D443CB">
        <w:rPr>
          <w:rFonts w:ascii="Gill Sans MT" w:hAnsi="Gill Sans MT"/>
        </w:rPr>
        <w:t xml:space="preserve">no conflicts of interest for any assessor. </w:t>
      </w:r>
    </w:p>
    <w:p w14:paraId="19BA0B65" w14:textId="77777777" w:rsidR="003B65CC" w:rsidRPr="00D443CB" w:rsidRDefault="003B65CC" w:rsidP="008F79FE">
      <w:pPr>
        <w:spacing w:after="0" w:line="240" w:lineRule="auto"/>
        <w:jc w:val="both"/>
        <w:rPr>
          <w:rFonts w:ascii="Gill Sans MT" w:hAnsi="Gill Sans MT"/>
        </w:rPr>
      </w:pPr>
    </w:p>
    <w:p w14:paraId="1153D625" w14:textId="7FFC43EE" w:rsidR="003B65CC" w:rsidRPr="00D443CB" w:rsidRDefault="003B65CC" w:rsidP="008F79FE">
      <w:pPr>
        <w:spacing w:after="0" w:line="240" w:lineRule="auto"/>
        <w:jc w:val="both"/>
        <w:rPr>
          <w:rFonts w:ascii="Gill Sans MT" w:hAnsi="Gill Sans MT"/>
        </w:rPr>
      </w:pPr>
      <w:r w:rsidRPr="00D443CB">
        <w:rPr>
          <w:rFonts w:ascii="Gill Sans MT" w:hAnsi="Gill Sans MT"/>
        </w:rPr>
        <w:t xml:space="preserve">A </w:t>
      </w:r>
      <w:r w:rsidR="003E7B31" w:rsidRPr="00D443CB">
        <w:rPr>
          <w:rFonts w:ascii="Gill Sans MT" w:hAnsi="Gill Sans MT"/>
        </w:rPr>
        <w:t>four</w:t>
      </w:r>
      <w:r w:rsidRPr="00D443CB">
        <w:rPr>
          <w:rFonts w:ascii="Gill Sans MT" w:hAnsi="Gill Sans MT"/>
        </w:rPr>
        <w:t xml:space="preserve">-part process is used for the diagnostic network assessment: </w:t>
      </w:r>
    </w:p>
    <w:p w14:paraId="584B029C" w14:textId="77777777" w:rsidR="003B65CC" w:rsidRPr="00D443CB" w:rsidRDefault="003B65CC" w:rsidP="00FC763C">
      <w:pPr>
        <w:pStyle w:val="NoSpacing"/>
        <w:numPr>
          <w:ilvl w:val="0"/>
          <w:numId w:val="6"/>
        </w:numPr>
        <w:jc w:val="both"/>
        <w:rPr>
          <w:rFonts w:ascii="Gill Sans MT" w:hAnsi="Gill Sans MT"/>
          <w:sz w:val="22"/>
          <w:szCs w:val="22"/>
        </w:rPr>
      </w:pPr>
      <w:r w:rsidRPr="00D443CB">
        <w:rPr>
          <w:rFonts w:ascii="Gill Sans MT" w:hAnsi="Gill Sans MT"/>
          <w:sz w:val="22"/>
          <w:szCs w:val="22"/>
        </w:rPr>
        <w:t>Pre-assessment data collection and analysis</w:t>
      </w:r>
    </w:p>
    <w:p w14:paraId="50B00B37" w14:textId="108B5E89" w:rsidR="003B65CC" w:rsidRPr="00D443CB" w:rsidRDefault="003B65CC" w:rsidP="00FC763C">
      <w:pPr>
        <w:pStyle w:val="NoSpacing"/>
        <w:numPr>
          <w:ilvl w:val="0"/>
          <w:numId w:val="6"/>
        </w:numPr>
        <w:jc w:val="both"/>
        <w:rPr>
          <w:rFonts w:ascii="Gill Sans MT" w:hAnsi="Gill Sans MT"/>
          <w:sz w:val="22"/>
          <w:szCs w:val="22"/>
        </w:rPr>
      </w:pPr>
      <w:r w:rsidRPr="00D443CB">
        <w:rPr>
          <w:rFonts w:ascii="Gill Sans MT" w:hAnsi="Gill Sans MT"/>
          <w:sz w:val="22"/>
          <w:szCs w:val="22"/>
        </w:rPr>
        <w:t>Self-assessment of the TB diagnostic network core capacities by the program</w:t>
      </w:r>
      <w:r w:rsidR="007F769E" w:rsidRPr="00D443CB">
        <w:rPr>
          <w:rFonts w:ascii="Gill Sans MT" w:hAnsi="Gill Sans MT"/>
          <w:sz w:val="22"/>
          <w:szCs w:val="22"/>
        </w:rPr>
        <w:t xml:space="preserve"> </w:t>
      </w:r>
      <w:r w:rsidRPr="00D443CB">
        <w:rPr>
          <w:rFonts w:ascii="Gill Sans MT" w:hAnsi="Gill Sans MT"/>
          <w:sz w:val="22"/>
          <w:szCs w:val="22"/>
        </w:rPr>
        <w:t xml:space="preserve">using the </w:t>
      </w:r>
      <w:r w:rsidR="005805FA" w:rsidRPr="00D443CB">
        <w:rPr>
          <w:rFonts w:ascii="Gill Sans MT" w:hAnsi="Gill Sans MT"/>
          <w:sz w:val="22"/>
          <w:szCs w:val="22"/>
        </w:rPr>
        <w:t>TB-Net Tool</w:t>
      </w:r>
    </w:p>
    <w:p w14:paraId="0CAB1014" w14:textId="198BEBEB" w:rsidR="003B65CC" w:rsidRPr="00D443CB" w:rsidRDefault="003B65CC" w:rsidP="00FC763C">
      <w:pPr>
        <w:pStyle w:val="NoSpacing"/>
        <w:numPr>
          <w:ilvl w:val="0"/>
          <w:numId w:val="6"/>
        </w:numPr>
        <w:jc w:val="both"/>
        <w:rPr>
          <w:rFonts w:ascii="Gill Sans MT" w:hAnsi="Gill Sans MT"/>
          <w:sz w:val="22"/>
          <w:szCs w:val="22"/>
        </w:rPr>
      </w:pPr>
      <w:r w:rsidRPr="00D443CB">
        <w:rPr>
          <w:rFonts w:ascii="Gill Sans MT" w:hAnsi="Gill Sans MT"/>
          <w:sz w:val="22"/>
          <w:szCs w:val="22"/>
        </w:rPr>
        <w:t>Review of the self-assessment and verification of self-</w:t>
      </w:r>
      <w:r w:rsidR="00423058" w:rsidRPr="00D443CB">
        <w:rPr>
          <w:rFonts w:ascii="Gill Sans MT" w:hAnsi="Gill Sans MT"/>
          <w:sz w:val="22"/>
          <w:szCs w:val="22"/>
        </w:rPr>
        <w:t xml:space="preserve">staging </w:t>
      </w:r>
      <w:r w:rsidRPr="00D443CB">
        <w:rPr>
          <w:rFonts w:ascii="Gill Sans MT" w:hAnsi="Gill Sans MT"/>
          <w:sz w:val="22"/>
          <w:szCs w:val="22"/>
        </w:rPr>
        <w:t xml:space="preserve">by an assessment team through document review, interviews, and ‘verification’ visits to national, regional (supervisory), and peripheral laboratories </w:t>
      </w:r>
    </w:p>
    <w:p w14:paraId="27E64714" w14:textId="18E9F47B" w:rsidR="004C0CCE" w:rsidRPr="00D443CB" w:rsidRDefault="004C0CCE" w:rsidP="00FC763C">
      <w:pPr>
        <w:pStyle w:val="NoSpacing"/>
        <w:numPr>
          <w:ilvl w:val="1"/>
          <w:numId w:val="6"/>
        </w:numPr>
        <w:jc w:val="both"/>
        <w:rPr>
          <w:rFonts w:ascii="Gill Sans MT" w:hAnsi="Gill Sans MT"/>
          <w:sz w:val="22"/>
          <w:szCs w:val="22"/>
        </w:rPr>
      </w:pPr>
      <w:r w:rsidRPr="00D443CB">
        <w:rPr>
          <w:rFonts w:ascii="Gill Sans MT" w:hAnsi="Gill Sans MT"/>
          <w:sz w:val="22"/>
          <w:szCs w:val="22"/>
        </w:rPr>
        <w:t xml:space="preserve">The purpose of a </w:t>
      </w:r>
      <w:r w:rsidR="00103312" w:rsidRPr="00D443CB">
        <w:rPr>
          <w:rFonts w:ascii="Gill Sans MT" w:hAnsi="Gill Sans MT"/>
          <w:sz w:val="22"/>
          <w:szCs w:val="22"/>
        </w:rPr>
        <w:t>verification</w:t>
      </w:r>
      <w:r w:rsidRPr="00D443CB">
        <w:rPr>
          <w:rFonts w:ascii="Gill Sans MT" w:hAnsi="Gill Sans MT"/>
          <w:sz w:val="22"/>
          <w:szCs w:val="22"/>
        </w:rPr>
        <w:t xml:space="preserve"> visit is to interview laboratory and program staff at the national, intermediate and peripheral levels to verify the stages assigned in the self-assessment done by the national program. </w:t>
      </w:r>
      <w:r w:rsidR="00103312" w:rsidRPr="00D443CB">
        <w:rPr>
          <w:rFonts w:ascii="Gill Sans MT" w:hAnsi="Gill Sans MT"/>
          <w:sz w:val="22"/>
          <w:szCs w:val="22"/>
        </w:rPr>
        <w:t>For example, staff would be asked to determine if SOPs are implemented at all levels of the laboratory network to determine the stage for that question. Importantly, v</w:t>
      </w:r>
      <w:r w:rsidRPr="00D443CB">
        <w:rPr>
          <w:rFonts w:ascii="Gill Sans MT" w:hAnsi="Gill Sans MT"/>
          <w:sz w:val="22"/>
          <w:szCs w:val="22"/>
        </w:rPr>
        <w:t xml:space="preserve">erification visits are </w:t>
      </w:r>
      <w:r w:rsidRPr="00D443CB">
        <w:rPr>
          <w:rFonts w:ascii="Gill Sans MT" w:hAnsi="Gill Sans MT"/>
          <w:b/>
          <w:sz w:val="22"/>
          <w:szCs w:val="22"/>
          <w:u w:val="single"/>
        </w:rPr>
        <w:t>not</w:t>
      </w:r>
      <w:r w:rsidRPr="00D443CB">
        <w:rPr>
          <w:rFonts w:ascii="Gill Sans MT" w:hAnsi="Gill Sans MT"/>
          <w:sz w:val="22"/>
          <w:szCs w:val="22"/>
        </w:rPr>
        <w:t xml:space="preserve"> visits to evaluate the performance or competencies of individual laboratories.</w:t>
      </w:r>
    </w:p>
    <w:p w14:paraId="631ECD76" w14:textId="2A70BE35" w:rsidR="003E7B31" w:rsidRPr="00D443CB" w:rsidRDefault="00322526" w:rsidP="00FC763C">
      <w:pPr>
        <w:pStyle w:val="NoSpacing"/>
        <w:numPr>
          <w:ilvl w:val="0"/>
          <w:numId w:val="6"/>
        </w:numPr>
        <w:jc w:val="both"/>
        <w:rPr>
          <w:rFonts w:ascii="Gill Sans MT" w:hAnsi="Gill Sans MT"/>
          <w:sz w:val="22"/>
          <w:szCs w:val="22"/>
        </w:rPr>
      </w:pPr>
      <w:r w:rsidRPr="00D443CB">
        <w:rPr>
          <w:rFonts w:ascii="Gill Sans MT" w:hAnsi="Gill Sans MT"/>
          <w:sz w:val="22"/>
          <w:szCs w:val="22"/>
        </w:rPr>
        <w:t>R</w:t>
      </w:r>
      <w:r w:rsidR="003E7B31" w:rsidRPr="00D443CB">
        <w:rPr>
          <w:rFonts w:ascii="Gill Sans MT" w:hAnsi="Gill Sans MT"/>
          <w:sz w:val="22"/>
          <w:szCs w:val="22"/>
        </w:rPr>
        <w:t xml:space="preserve">eview of the </w:t>
      </w:r>
      <w:r w:rsidRPr="00D443CB">
        <w:rPr>
          <w:rFonts w:ascii="Gill Sans MT" w:hAnsi="Gill Sans MT"/>
          <w:sz w:val="22"/>
          <w:szCs w:val="22"/>
        </w:rPr>
        <w:t xml:space="preserve">findings of the </w:t>
      </w:r>
      <w:r w:rsidR="003E7B31" w:rsidRPr="00D443CB">
        <w:rPr>
          <w:rFonts w:ascii="Gill Sans MT" w:hAnsi="Gill Sans MT"/>
          <w:sz w:val="22"/>
          <w:szCs w:val="22"/>
        </w:rPr>
        <w:t>assessm</w:t>
      </w:r>
      <w:r w:rsidRPr="00D443CB">
        <w:rPr>
          <w:rFonts w:ascii="Gill Sans MT" w:hAnsi="Gill Sans MT"/>
          <w:sz w:val="22"/>
          <w:szCs w:val="22"/>
        </w:rPr>
        <w:t>ent,</w:t>
      </w:r>
      <w:r w:rsidR="003E7B31" w:rsidRPr="00D443CB">
        <w:rPr>
          <w:rFonts w:ascii="Gill Sans MT" w:hAnsi="Gill Sans MT"/>
          <w:sz w:val="22"/>
          <w:szCs w:val="22"/>
        </w:rPr>
        <w:t xml:space="preserve"> identif</w:t>
      </w:r>
      <w:r w:rsidR="00EC571C" w:rsidRPr="00D443CB">
        <w:rPr>
          <w:rFonts w:ascii="Gill Sans MT" w:hAnsi="Gill Sans MT"/>
          <w:sz w:val="22"/>
          <w:szCs w:val="22"/>
        </w:rPr>
        <w:t>ication of</w:t>
      </w:r>
      <w:r w:rsidRPr="00D443CB">
        <w:rPr>
          <w:rFonts w:ascii="Gill Sans MT" w:hAnsi="Gill Sans MT"/>
          <w:sz w:val="22"/>
          <w:szCs w:val="22"/>
        </w:rPr>
        <w:t xml:space="preserve"> strengths and weaknesses and </w:t>
      </w:r>
      <w:r w:rsidR="00EC571C" w:rsidRPr="00D443CB">
        <w:rPr>
          <w:rFonts w:ascii="Gill Sans MT" w:hAnsi="Gill Sans MT"/>
          <w:sz w:val="22"/>
          <w:szCs w:val="22"/>
        </w:rPr>
        <w:t xml:space="preserve">development of </w:t>
      </w:r>
      <w:r w:rsidR="003E7B31" w:rsidRPr="00D443CB">
        <w:rPr>
          <w:rFonts w:ascii="Gill Sans MT" w:hAnsi="Gill Sans MT"/>
          <w:sz w:val="22"/>
          <w:szCs w:val="22"/>
        </w:rPr>
        <w:t>evidence</w:t>
      </w:r>
      <w:r w:rsidRPr="00D443CB">
        <w:rPr>
          <w:rFonts w:ascii="Gill Sans MT" w:hAnsi="Gill Sans MT"/>
          <w:sz w:val="22"/>
          <w:szCs w:val="22"/>
        </w:rPr>
        <w:t>-b</w:t>
      </w:r>
      <w:r w:rsidR="003E7B31" w:rsidRPr="00D443CB">
        <w:rPr>
          <w:rFonts w:ascii="Gill Sans MT" w:hAnsi="Gill Sans MT"/>
          <w:sz w:val="22"/>
          <w:szCs w:val="22"/>
        </w:rPr>
        <w:t>ased interventions</w:t>
      </w:r>
      <w:r w:rsidRPr="00D443CB">
        <w:rPr>
          <w:rFonts w:ascii="Gill Sans MT" w:hAnsi="Gill Sans MT"/>
          <w:sz w:val="22"/>
          <w:szCs w:val="22"/>
        </w:rPr>
        <w:t xml:space="preserve"> to improve the TB diagnostic network</w:t>
      </w:r>
    </w:p>
    <w:p w14:paraId="1994939A" w14:textId="77777777" w:rsidR="003B65CC" w:rsidRPr="00D443CB" w:rsidRDefault="003B65CC" w:rsidP="008F79FE">
      <w:pPr>
        <w:spacing w:after="0" w:line="240" w:lineRule="auto"/>
        <w:jc w:val="both"/>
        <w:rPr>
          <w:rFonts w:ascii="Gill Sans MT" w:hAnsi="Gill Sans MT"/>
        </w:rPr>
      </w:pPr>
    </w:p>
    <w:p w14:paraId="73EF4798" w14:textId="77777777" w:rsidR="003B65CC" w:rsidRPr="00D443CB" w:rsidRDefault="003B65CC" w:rsidP="003B65CC">
      <w:pPr>
        <w:pStyle w:val="Heading2"/>
        <w:spacing w:before="0" w:after="120" w:line="240" w:lineRule="auto"/>
        <w:rPr>
          <w:rFonts w:ascii="Gill Sans MT" w:hAnsi="Gill Sans MT" w:cstheme="minorHAnsi"/>
          <w:sz w:val="24"/>
        </w:rPr>
      </w:pPr>
      <w:bookmarkStart w:id="24" w:name="_Toc37317823"/>
      <w:r w:rsidRPr="00D443CB">
        <w:rPr>
          <w:rFonts w:ascii="Gill Sans MT" w:hAnsi="Gill Sans MT" w:cstheme="minorHAnsi"/>
          <w:sz w:val="24"/>
        </w:rPr>
        <w:t>1. Pre-assessment data collection and analysis</w:t>
      </w:r>
      <w:bookmarkEnd w:id="24"/>
    </w:p>
    <w:p w14:paraId="17BCFABC" w14:textId="77777777" w:rsidR="00C06FD6" w:rsidRPr="00D443CB" w:rsidRDefault="003B65CC" w:rsidP="00F50A9C">
      <w:pPr>
        <w:spacing w:line="240" w:lineRule="auto"/>
        <w:jc w:val="both"/>
        <w:rPr>
          <w:rFonts w:ascii="Gill Sans MT" w:hAnsi="Gill Sans MT"/>
          <w:color w:val="000000" w:themeColor="text1"/>
        </w:rPr>
      </w:pPr>
      <w:r w:rsidRPr="00D443CB">
        <w:rPr>
          <w:rFonts w:ascii="Gill Sans MT" w:hAnsi="Gill Sans MT"/>
        </w:rPr>
        <w:t xml:space="preserve">National and sub-national data on diagnostic and laboratory variables should be </w:t>
      </w:r>
      <w:r w:rsidR="005536E2" w:rsidRPr="00D443CB">
        <w:rPr>
          <w:rFonts w:ascii="Gill Sans MT" w:hAnsi="Gill Sans MT"/>
        </w:rPr>
        <w:t xml:space="preserve">compiled and </w:t>
      </w:r>
      <w:r w:rsidRPr="00D443CB">
        <w:rPr>
          <w:rFonts w:ascii="Gill Sans MT" w:hAnsi="Gill Sans MT"/>
        </w:rPr>
        <w:t xml:space="preserve">provided to the assessment team by the country program </w:t>
      </w:r>
      <w:r w:rsidR="00707519" w:rsidRPr="00D443CB">
        <w:rPr>
          <w:rFonts w:ascii="Gill Sans MT" w:hAnsi="Gill Sans MT"/>
        </w:rPr>
        <w:t xml:space="preserve">at least 4 weeks </w:t>
      </w:r>
      <w:r w:rsidRPr="00D443CB">
        <w:rPr>
          <w:rFonts w:ascii="Gill Sans MT" w:hAnsi="Gill Sans MT"/>
        </w:rPr>
        <w:t>prior to the in-country assessment visit</w:t>
      </w:r>
      <w:r w:rsidR="00707519" w:rsidRPr="00D443CB">
        <w:rPr>
          <w:rFonts w:ascii="Gill Sans MT" w:hAnsi="Gill Sans MT"/>
        </w:rPr>
        <w:t xml:space="preserve"> to allow sufficient time for compilation and analysis</w:t>
      </w:r>
      <w:r w:rsidRPr="00D443CB">
        <w:rPr>
          <w:rFonts w:ascii="Gill Sans MT" w:hAnsi="Gill Sans MT"/>
        </w:rPr>
        <w:t xml:space="preserve">. </w:t>
      </w:r>
      <w:r w:rsidR="00B662A4" w:rsidRPr="00D443CB">
        <w:rPr>
          <w:rFonts w:ascii="Gill Sans MT" w:hAnsi="Gill Sans MT" w:cstheme="minorHAnsi"/>
          <w:color w:val="000000" w:themeColor="text1"/>
        </w:rPr>
        <w:t xml:space="preserve">These data should also be reviewed as part of the self-assessment process. </w:t>
      </w:r>
      <w:r w:rsidR="00F50A9C" w:rsidRPr="00D443CB">
        <w:rPr>
          <w:rFonts w:ascii="Gill Sans MT" w:hAnsi="Gill Sans MT"/>
          <w:color w:val="000000" w:themeColor="text1"/>
        </w:rPr>
        <w:t xml:space="preserve">The list of potential analyses, figures and tables is extensive. The National program and assessment team should tailor the list to the country and to the specific objectives of the network assessment. Data may not be available for some analyses and some analyses may not be relevant to the objectives of the assessment. </w:t>
      </w:r>
    </w:p>
    <w:p w14:paraId="3D9A8B74" w14:textId="7D5987CD" w:rsidR="003B65CC" w:rsidRPr="00D443CB" w:rsidRDefault="00C06FD6" w:rsidP="00834A2E">
      <w:pPr>
        <w:spacing w:after="0" w:line="240" w:lineRule="auto"/>
        <w:jc w:val="both"/>
        <w:rPr>
          <w:rFonts w:ascii="Gill Sans MT" w:hAnsi="Gill Sans MT"/>
        </w:rPr>
      </w:pPr>
      <w:r w:rsidRPr="00D443CB">
        <w:rPr>
          <w:rFonts w:ascii="Gill Sans MT" w:hAnsi="Gill Sans MT"/>
          <w:color w:val="000000" w:themeColor="text1"/>
        </w:rPr>
        <w:t xml:space="preserve">Usually, one member of the external assessment team with expertise in data analysis and statistics will analyze the data provided by the program and prepare a pre-assessment data report </w:t>
      </w:r>
      <w:r w:rsidRPr="00D443CB">
        <w:rPr>
          <w:rFonts w:ascii="Gill Sans MT" w:hAnsi="Gill Sans MT"/>
        </w:rPr>
        <w:t>(</w:t>
      </w:r>
      <w:r w:rsidR="00F220AC" w:rsidRPr="00D443CB">
        <w:rPr>
          <w:rFonts w:ascii="Gill Sans MT" w:hAnsi="Gill Sans MT"/>
        </w:rPr>
        <w:t>a template is available</w:t>
      </w:r>
      <w:r w:rsidRPr="00D443CB">
        <w:rPr>
          <w:rFonts w:ascii="Gill Sans MT" w:hAnsi="Gill Sans MT"/>
        </w:rPr>
        <w:t>).</w:t>
      </w:r>
      <w:r w:rsidRPr="00D443CB">
        <w:rPr>
          <w:rFonts w:ascii="Gill Sans MT" w:hAnsi="Gill Sans MT"/>
          <w:color w:val="000000" w:themeColor="text1"/>
        </w:rPr>
        <w:t xml:space="preserve"> The report </w:t>
      </w:r>
      <w:r w:rsidRPr="00D443CB">
        <w:rPr>
          <w:rFonts w:ascii="Gill Sans MT" w:hAnsi="Gill Sans MT"/>
          <w:color w:val="000000" w:themeColor="text1"/>
        </w:rPr>
        <w:lastRenderedPageBreak/>
        <w:t xml:space="preserve">should be provided to the assessment team at least two weeks prior to the in-country visit. </w:t>
      </w:r>
      <w:r w:rsidR="003B65CC" w:rsidRPr="00D443CB">
        <w:rPr>
          <w:rFonts w:ascii="Gill Sans MT" w:hAnsi="Gill Sans MT"/>
        </w:rPr>
        <w:t xml:space="preserve">Data </w:t>
      </w:r>
      <w:r w:rsidRPr="00D443CB">
        <w:rPr>
          <w:rFonts w:ascii="Gill Sans MT" w:hAnsi="Gill Sans MT"/>
        </w:rPr>
        <w:t xml:space="preserve">and analyses </w:t>
      </w:r>
      <w:r w:rsidR="003B65CC" w:rsidRPr="00D443CB">
        <w:rPr>
          <w:rFonts w:ascii="Gill Sans MT" w:hAnsi="Gill Sans MT"/>
        </w:rPr>
        <w:t xml:space="preserve">provided in the pre-assessment report should include: </w:t>
      </w:r>
    </w:p>
    <w:p w14:paraId="6CE4B715" w14:textId="13CDDF4A" w:rsidR="003B65CC" w:rsidRPr="00D443CB" w:rsidRDefault="003B65CC" w:rsidP="008F79FE">
      <w:pPr>
        <w:spacing w:after="0" w:line="240" w:lineRule="auto"/>
        <w:ind w:left="720" w:hanging="360"/>
        <w:rPr>
          <w:rFonts w:ascii="Gill Sans MT" w:hAnsi="Gill Sans MT"/>
        </w:rPr>
      </w:pPr>
      <w:r w:rsidRPr="00D443CB">
        <w:rPr>
          <w:rFonts w:ascii="Gill Sans MT" w:hAnsi="Gill Sans MT"/>
        </w:rPr>
        <w:t>•</w:t>
      </w:r>
      <w:r w:rsidRPr="00D443CB">
        <w:rPr>
          <w:rFonts w:ascii="Gill Sans MT" w:hAnsi="Gill Sans MT"/>
        </w:rPr>
        <w:tab/>
        <w:t xml:space="preserve">TB </w:t>
      </w:r>
      <w:r w:rsidR="00FF1020" w:rsidRPr="00D443CB">
        <w:rPr>
          <w:rFonts w:ascii="Gill Sans MT" w:hAnsi="Gill Sans MT"/>
        </w:rPr>
        <w:t xml:space="preserve">and DR-TB </w:t>
      </w:r>
      <w:r w:rsidRPr="00D443CB">
        <w:rPr>
          <w:rFonts w:ascii="Gill Sans MT" w:hAnsi="Gill Sans MT"/>
        </w:rPr>
        <w:t xml:space="preserve">case notification data </w:t>
      </w:r>
      <w:r w:rsidR="007F769E" w:rsidRPr="00D443CB">
        <w:rPr>
          <w:rFonts w:ascii="Gill Sans MT" w:hAnsi="Gill Sans MT"/>
        </w:rPr>
        <w:t>according to WHO-recommended categories</w:t>
      </w:r>
      <w:r w:rsidR="007F769E" w:rsidRPr="00D443CB">
        <w:rPr>
          <w:rStyle w:val="FootnoteReference"/>
          <w:rFonts w:ascii="Gill Sans MT" w:hAnsi="Gill Sans MT"/>
        </w:rPr>
        <w:footnoteReference w:id="13"/>
      </w:r>
      <w:r w:rsidR="007F769E" w:rsidRPr="00D443CB">
        <w:rPr>
          <w:rFonts w:ascii="Gill Sans MT" w:hAnsi="Gill Sans MT"/>
        </w:rPr>
        <w:t xml:space="preserve"> </w:t>
      </w:r>
      <w:r w:rsidRPr="00D443CB">
        <w:rPr>
          <w:rFonts w:ascii="Gill Sans MT" w:hAnsi="Gill Sans MT"/>
        </w:rPr>
        <w:t>(</w:t>
      </w:r>
      <w:r w:rsidR="006574D2" w:rsidRPr="00D443CB">
        <w:rPr>
          <w:rFonts w:ascii="Gill Sans MT" w:hAnsi="Gill Sans MT"/>
        </w:rPr>
        <w:t>e.g.</w:t>
      </w:r>
      <w:r w:rsidRPr="00D443CB">
        <w:rPr>
          <w:rFonts w:ascii="Gill Sans MT" w:hAnsi="Gill Sans MT"/>
        </w:rPr>
        <w:t>, pulmonary</w:t>
      </w:r>
      <w:r w:rsidR="00553F99" w:rsidRPr="00D443CB">
        <w:rPr>
          <w:rFonts w:ascii="Gill Sans MT" w:hAnsi="Gill Sans MT"/>
        </w:rPr>
        <w:t xml:space="preserve"> TB,</w:t>
      </w:r>
      <w:r w:rsidRPr="00D443CB">
        <w:rPr>
          <w:rFonts w:ascii="Gill Sans MT" w:hAnsi="Gill Sans MT"/>
        </w:rPr>
        <w:t xml:space="preserve"> extrapulmonary TB, bacteriologically diagnosed TB, pediatric</w:t>
      </w:r>
      <w:r w:rsidR="00553F99" w:rsidRPr="00D443CB">
        <w:rPr>
          <w:rFonts w:ascii="Gill Sans MT" w:hAnsi="Gill Sans MT"/>
        </w:rPr>
        <w:t xml:space="preserve"> TB,</w:t>
      </w:r>
      <w:r w:rsidRPr="00D443CB">
        <w:rPr>
          <w:rFonts w:ascii="Gill Sans MT" w:hAnsi="Gill Sans MT"/>
        </w:rPr>
        <w:t xml:space="preserve"> adult TB, TBHIV</w:t>
      </w:r>
      <w:r w:rsidR="00553F99" w:rsidRPr="00D443CB">
        <w:rPr>
          <w:rFonts w:ascii="Gill Sans MT" w:hAnsi="Gill Sans MT"/>
        </w:rPr>
        <w:t>, MDR-TB, etc.</w:t>
      </w:r>
      <w:r w:rsidRPr="00D443CB">
        <w:rPr>
          <w:rFonts w:ascii="Gill Sans MT" w:hAnsi="Gill Sans MT"/>
        </w:rPr>
        <w:t>)</w:t>
      </w:r>
      <w:r w:rsidR="00553F99" w:rsidRPr="00D443CB">
        <w:rPr>
          <w:rFonts w:ascii="Gill Sans MT" w:hAnsi="Gill Sans MT"/>
        </w:rPr>
        <w:t xml:space="preserve"> </w:t>
      </w:r>
      <w:r w:rsidRPr="00D443CB">
        <w:rPr>
          <w:rFonts w:ascii="Gill Sans MT" w:hAnsi="Gill Sans MT"/>
        </w:rPr>
        <w:t>at national</w:t>
      </w:r>
      <w:r w:rsidR="00553F99" w:rsidRPr="00D443CB">
        <w:rPr>
          <w:rFonts w:ascii="Gill Sans MT" w:hAnsi="Gill Sans MT"/>
        </w:rPr>
        <w:t xml:space="preserve"> and sub-national levels (at least to province, region, or state level</w:t>
      </w:r>
      <w:r w:rsidRPr="00D443CB">
        <w:rPr>
          <w:rFonts w:ascii="Gill Sans MT" w:hAnsi="Gill Sans MT"/>
        </w:rPr>
        <w:t>)</w:t>
      </w:r>
      <w:r w:rsidR="002F3EDF" w:rsidRPr="00D443CB">
        <w:rPr>
          <w:rFonts w:ascii="Gill Sans MT" w:hAnsi="Gill Sans MT"/>
        </w:rPr>
        <w:t xml:space="preserve"> and with disaggregation by public and private sectors where available</w:t>
      </w:r>
    </w:p>
    <w:p w14:paraId="1D508795" w14:textId="69A3D8CC" w:rsidR="003B65CC" w:rsidRPr="00D443CB" w:rsidRDefault="003B65CC" w:rsidP="008F79FE">
      <w:pPr>
        <w:spacing w:after="0" w:line="240" w:lineRule="auto"/>
        <w:ind w:left="720" w:hanging="360"/>
        <w:rPr>
          <w:rFonts w:ascii="Gill Sans MT" w:hAnsi="Gill Sans MT"/>
        </w:rPr>
      </w:pPr>
      <w:r w:rsidRPr="00D443CB">
        <w:rPr>
          <w:rFonts w:ascii="Gill Sans MT" w:hAnsi="Gill Sans MT"/>
        </w:rPr>
        <w:t>•</w:t>
      </w:r>
      <w:r w:rsidRPr="00D443CB">
        <w:rPr>
          <w:rFonts w:ascii="Gill Sans MT" w:hAnsi="Gill Sans MT"/>
        </w:rPr>
        <w:tab/>
        <w:t>Number and type of staff at national TB reference laboratory (NRL) and intermediate reference laboratories (IRLs) and whether the positions were approved and filled or vacant as well as source of funding (</w:t>
      </w:r>
      <w:r w:rsidR="006574D2" w:rsidRPr="00D443CB">
        <w:rPr>
          <w:rFonts w:ascii="Gill Sans MT" w:hAnsi="Gill Sans MT"/>
        </w:rPr>
        <w:t>e.g.</w:t>
      </w:r>
      <w:r w:rsidRPr="00D443CB">
        <w:rPr>
          <w:rFonts w:ascii="Gill Sans MT" w:hAnsi="Gill Sans MT"/>
        </w:rPr>
        <w:t xml:space="preserve">, federal or state government, Global Fund, PEPFAR, implementing partner, </w:t>
      </w:r>
      <w:r w:rsidRPr="00D443CB">
        <w:rPr>
          <w:rFonts w:ascii="Gill Sans MT" w:hAnsi="Gill Sans MT"/>
          <w:i/>
        </w:rPr>
        <w:t>etc.</w:t>
      </w:r>
      <w:r w:rsidRPr="00D443CB">
        <w:rPr>
          <w:rFonts w:ascii="Gill Sans MT" w:hAnsi="Gill Sans MT"/>
        </w:rPr>
        <w:t>)</w:t>
      </w:r>
    </w:p>
    <w:p w14:paraId="5E1F6FB3" w14:textId="2883DDA3" w:rsidR="003B65CC" w:rsidRPr="00D443CB" w:rsidRDefault="003B65CC" w:rsidP="008F79FE">
      <w:pPr>
        <w:spacing w:after="0" w:line="240" w:lineRule="auto"/>
        <w:ind w:left="720" w:hanging="360"/>
        <w:rPr>
          <w:rFonts w:ascii="Gill Sans MT" w:hAnsi="Gill Sans MT"/>
        </w:rPr>
      </w:pPr>
      <w:r w:rsidRPr="00D443CB">
        <w:rPr>
          <w:rFonts w:ascii="Gill Sans MT" w:hAnsi="Gill Sans MT"/>
        </w:rPr>
        <w:t>•</w:t>
      </w:r>
      <w:r w:rsidRPr="00D443CB">
        <w:rPr>
          <w:rFonts w:ascii="Gill Sans MT" w:hAnsi="Gill Sans MT"/>
        </w:rPr>
        <w:tab/>
      </w:r>
      <w:r w:rsidR="00553F99" w:rsidRPr="00D443CB">
        <w:rPr>
          <w:rFonts w:ascii="Gill Sans MT" w:hAnsi="Gill Sans MT"/>
        </w:rPr>
        <w:t>Key</w:t>
      </w:r>
      <w:r w:rsidR="00BB6791" w:rsidRPr="00D443CB">
        <w:rPr>
          <w:rFonts w:ascii="Gill Sans MT" w:hAnsi="Gill Sans MT"/>
        </w:rPr>
        <w:t xml:space="preserve"> </w:t>
      </w:r>
      <w:r w:rsidR="002F3EDF" w:rsidRPr="00D443CB">
        <w:rPr>
          <w:rFonts w:ascii="Gill Sans MT" w:hAnsi="Gill Sans MT"/>
        </w:rPr>
        <w:t xml:space="preserve">test statistics </w:t>
      </w:r>
      <w:r w:rsidR="00BB6791" w:rsidRPr="00D443CB">
        <w:rPr>
          <w:rFonts w:ascii="Gill Sans MT" w:hAnsi="Gill Sans MT"/>
        </w:rPr>
        <w:t>performance indicators</w:t>
      </w:r>
      <w:r w:rsidR="00553F99" w:rsidRPr="00D443CB">
        <w:rPr>
          <w:rStyle w:val="FootnoteReference"/>
          <w:rFonts w:ascii="Gill Sans MT" w:hAnsi="Gill Sans MT"/>
        </w:rPr>
        <w:footnoteReference w:id="14"/>
      </w:r>
      <w:r w:rsidR="00BB6791" w:rsidRPr="00D443CB">
        <w:rPr>
          <w:rFonts w:ascii="Gill Sans MT" w:hAnsi="Gill Sans MT"/>
        </w:rPr>
        <w:t xml:space="preserve"> </w:t>
      </w:r>
      <w:r w:rsidRPr="00D443CB">
        <w:rPr>
          <w:rFonts w:ascii="Gill Sans MT" w:hAnsi="Gill Sans MT"/>
        </w:rPr>
        <w:t xml:space="preserve"> by state and district</w:t>
      </w:r>
      <w:r w:rsidR="00553F99" w:rsidRPr="00D443CB">
        <w:rPr>
          <w:rFonts w:ascii="Gill Sans MT" w:hAnsi="Gill Sans MT"/>
        </w:rPr>
        <w:t xml:space="preserve"> for </w:t>
      </w:r>
      <w:r w:rsidR="00F50A9C" w:rsidRPr="00D443CB">
        <w:rPr>
          <w:rFonts w:ascii="Gill Sans MT" w:hAnsi="Gill Sans MT"/>
        </w:rPr>
        <w:t xml:space="preserve">each TB test conducted in the TB Diagnostic Network (e.g., </w:t>
      </w:r>
      <w:r w:rsidR="00553F99" w:rsidRPr="00D443CB">
        <w:rPr>
          <w:rFonts w:ascii="Gill Sans MT" w:hAnsi="Gill Sans MT"/>
        </w:rPr>
        <w:t xml:space="preserve">AFB-smear microscopy, Xpert MTB/RIF, Line-probe assays, </w:t>
      </w:r>
      <w:r w:rsidR="00F50A9C" w:rsidRPr="00D443CB">
        <w:rPr>
          <w:rFonts w:ascii="Gill Sans MT" w:hAnsi="Gill Sans MT"/>
        </w:rPr>
        <w:t xml:space="preserve">TB-LAMP, LF-LAM </w:t>
      </w:r>
      <w:r w:rsidR="00553F99" w:rsidRPr="00D443CB">
        <w:rPr>
          <w:rFonts w:ascii="Gill Sans MT" w:hAnsi="Gill Sans MT"/>
        </w:rPr>
        <w:t>culture, first-line DST, second-line DST</w:t>
      </w:r>
      <w:r w:rsidR="00F50A9C" w:rsidRPr="00D443CB">
        <w:rPr>
          <w:rFonts w:ascii="Gill Sans MT" w:hAnsi="Gill Sans MT"/>
        </w:rPr>
        <w:t>, etc.,</w:t>
      </w:r>
      <w:r w:rsidR="00FD0F67" w:rsidRPr="00D443CB">
        <w:rPr>
          <w:rFonts w:ascii="Gill Sans MT" w:hAnsi="Gill Sans MT"/>
        </w:rPr>
        <w:t xml:space="preserve"> Annex </w:t>
      </w:r>
      <w:r w:rsidR="00AA25E2" w:rsidRPr="00D443CB">
        <w:rPr>
          <w:rFonts w:ascii="Gill Sans MT" w:hAnsi="Gill Sans MT"/>
        </w:rPr>
        <w:t>2</w:t>
      </w:r>
      <w:r w:rsidR="00FD0F67" w:rsidRPr="00D443CB">
        <w:rPr>
          <w:rFonts w:ascii="Gill Sans MT" w:hAnsi="Gill Sans MT"/>
        </w:rPr>
        <w:t>)</w:t>
      </w:r>
    </w:p>
    <w:p w14:paraId="23AB142D" w14:textId="26E5020A" w:rsidR="007B4B75" w:rsidRPr="00D443CB" w:rsidRDefault="003B65CC" w:rsidP="008F79FE">
      <w:pPr>
        <w:spacing w:after="0" w:line="240" w:lineRule="auto"/>
        <w:ind w:left="720" w:hanging="360"/>
        <w:rPr>
          <w:rFonts w:ascii="Gill Sans MT" w:hAnsi="Gill Sans MT"/>
        </w:rPr>
      </w:pPr>
      <w:r w:rsidRPr="00D443CB">
        <w:rPr>
          <w:rFonts w:ascii="Gill Sans MT" w:hAnsi="Gill Sans MT"/>
        </w:rPr>
        <w:t>•</w:t>
      </w:r>
      <w:r w:rsidRPr="00D443CB">
        <w:rPr>
          <w:rFonts w:ascii="Gill Sans MT" w:hAnsi="Gill Sans MT"/>
        </w:rPr>
        <w:tab/>
        <w:t xml:space="preserve">Number and types of laboratories </w:t>
      </w:r>
      <w:r w:rsidR="00213FEE" w:rsidRPr="00D443CB">
        <w:rPr>
          <w:rFonts w:ascii="Gill Sans MT" w:hAnsi="Gill Sans MT"/>
        </w:rPr>
        <w:t>conducting the</w:t>
      </w:r>
      <w:r w:rsidRPr="00D443CB">
        <w:rPr>
          <w:rFonts w:ascii="Gill Sans MT" w:hAnsi="Gill Sans MT"/>
        </w:rPr>
        <w:t xml:space="preserve"> different diagnostic technologies by state and district</w:t>
      </w:r>
    </w:p>
    <w:p w14:paraId="5B86E176" w14:textId="6932572A" w:rsidR="003B65CC" w:rsidRPr="00D443CB" w:rsidRDefault="003B65CC" w:rsidP="008F79FE">
      <w:pPr>
        <w:spacing w:after="0" w:line="240" w:lineRule="auto"/>
        <w:ind w:left="720" w:hanging="360"/>
        <w:rPr>
          <w:rFonts w:ascii="Gill Sans MT" w:hAnsi="Gill Sans MT"/>
          <w:color w:val="000000" w:themeColor="text1"/>
        </w:rPr>
      </w:pPr>
      <w:r w:rsidRPr="00D443CB">
        <w:rPr>
          <w:rFonts w:ascii="Gill Sans MT" w:hAnsi="Gill Sans MT"/>
          <w:color w:val="000000" w:themeColor="text1"/>
        </w:rPr>
        <w:t>•</w:t>
      </w:r>
      <w:r w:rsidRPr="00D443CB">
        <w:rPr>
          <w:rFonts w:ascii="Gill Sans MT" w:hAnsi="Gill Sans MT"/>
          <w:color w:val="000000" w:themeColor="text1"/>
        </w:rPr>
        <w:tab/>
      </w:r>
      <w:r w:rsidR="007B4B75" w:rsidRPr="00D443CB">
        <w:rPr>
          <w:rFonts w:ascii="Gill Sans MT" w:hAnsi="Gill Sans MT"/>
          <w:color w:val="000000" w:themeColor="text1"/>
        </w:rPr>
        <w:t xml:space="preserve">Key performance indicators for the TB diagnostic </w:t>
      </w:r>
      <w:r w:rsidR="00827DFB" w:rsidRPr="00D443CB">
        <w:rPr>
          <w:rFonts w:ascii="Gill Sans MT" w:hAnsi="Gill Sans MT"/>
          <w:color w:val="000000" w:themeColor="text1"/>
        </w:rPr>
        <w:t>process</w:t>
      </w:r>
      <w:r w:rsidR="007B4B75" w:rsidRPr="00D443CB">
        <w:rPr>
          <w:rFonts w:ascii="Gill Sans MT" w:hAnsi="Gill Sans MT"/>
          <w:color w:val="000000" w:themeColor="text1"/>
        </w:rPr>
        <w:t xml:space="preserve"> </w:t>
      </w:r>
      <w:r w:rsidR="006062FA" w:rsidRPr="00D443CB">
        <w:rPr>
          <w:rFonts w:ascii="Gill Sans MT" w:hAnsi="Gill Sans MT"/>
          <w:color w:val="000000" w:themeColor="text1"/>
        </w:rPr>
        <w:t>and for laboratory strengthening under the End TB Strategy</w:t>
      </w:r>
      <w:r w:rsidR="006062FA" w:rsidRPr="00D443CB">
        <w:rPr>
          <w:rStyle w:val="FootnoteReference"/>
          <w:rFonts w:ascii="Gill Sans MT" w:hAnsi="Gill Sans MT"/>
          <w:color w:val="000000" w:themeColor="text1"/>
        </w:rPr>
        <w:footnoteReference w:id="15"/>
      </w:r>
      <w:r w:rsidR="006062FA" w:rsidRPr="00D443CB">
        <w:rPr>
          <w:rFonts w:ascii="Gill Sans MT" w:hAnsi="Gill Sans MT"/>
          <w:color w:val="000000" w:themeColor="text1"/>
        </w:rPr>
        <w:t xml:space="preserve"> </w:t>
      </w:r>
      <w:r w:rsidR="007B4B75" w:rsidRPr="00D443CB">
        <w:rPr>
          <w:rFonts w:ascii="Gill Sans MT" w:hAnsi="Gill Sans MT"/>
          <w:color w:val="000000" w:themeColor="text1"/>
        </w:rPr>
        <w:t xml:space="preserve">(Annex </w:t>
      </w:r>
      <w:r w:rsidR="00AA25E2" w:rsidRPr="00D443CB">
        <w:rPr>
          <w:rFonts w:ascii="Gill Sans MT" w:hAnsi="Gill Sans MT"/>
          <w:color w:val="000000" w:themeColor="text1"/>
        </w:rPr>
        <w:t>3</w:t>
      </w:r>
      <w:r w:rsidR="007B4B75" w:rsidRPr="00D443CB">
        <w:rPr>
          <w:rFonts w:ascii="Gill Sans MT" w:hAnsi="Gill Sans MT"/>
          <w:color w:val="000000" w:themeColor="text1"/>
        </w:rPr>
        <w:t>)</w:t>
      </w:r>
      <w:r w:rsidRPr="00D443CB">
        <w:rPr>
          <w:rFonts w:ascii="Gill Sans MT" w:hAnsi="Gill Sans MT"/>
          <w:color w:val="000000" w:themeColor="text1"/>
        </w:rPr>
        <w:t xml:space="preserve"> </w:t>
      </w:r>
    </w:p>
    <w:p w14:paraId="2BA9105B" w14:textId="51FF3A79" w:rsidR="00FC3A00" w:rsidRPr="00D443CB" w:rsidRDefault="00FC3A00" w:rsidP="003B65CC">
      <w:pPr>
        <w:spacing w:after="0" w:line="240" w:lineRule="auto"/>
        <w:ind w:left="720" w:hanging="360"/>
        <w:rPr>
          <w:rFonts w:ascii="Gill Sans MT" w:hAnsi="Gill Sans MT"/>
          <w:color w:val="000000" w:themeColor="text1"/>
        </w:rPr>
      </w:pPr>
    </w:p>
    <w:p w14:paraId="555BD018" w14:textId="20DE4EA3" w:rsidR="00707519" w:rsidRPr="00D443CB" w:rsidRDefault="00F50A9C" w:rsidP="00F50A9C">
      <w:pPr>
        <w:spacing w:line="240" w:lineRule="auto"/>
        <w:ind w:left="720"/>
        <w:jc w:val="both"/>
        <w:rPr>
          <w:rFonts w:ascii="Gill Sans MT" w:hAnsi="Gill Sans MT"/>
          <w:color w:val="000000" w:themeColor="text1"/>
        </w:rPr>
      </w:pPr>
      <w:r w:rsidRPr="00D443CB">
        <w:rPr>
          <w:rFonts w:ascii="Gill Sans MT" w:hAnsi="Gill Sans MT"/>
          <w:color w:val="000000" w:themeColor="text1"/>
        </w:rPr>
        <w:t xml:space="preserve">NOTE: </w:t>
      </w:r>
      <w:r w:rsidR="00707519" w:rsidRPr="00D443CB">
        <w:rPr>
          <w:rFonts w:ascii="Gill Sans MT" w:hAnsi="Gill Sans MT"/>
          <w:color w:val="000000" w:themeColor="text1"/>
        </w:rPr>
        <w:t>Annexes 2 and 3 are available in an Excel format which includes worksheets that will automatically generate charts as data are entered in the main data collection worksheet.</w:t>
      </w:r>
    </w:p>
    <w:p w14:paraId="5135F71A" w14:textId="7619AE1C" w:rsidR="003B65CC" w:rsidRPr="00D443CB" w:rsidRDefault="003B65CC" w:rsidP="008F79FE">
      <w:pPr>
        <w:spacing w:line="240" w:lineRule="auto"/>
        <w:jc w:val="both"/>
        <w:rPr>
          <w:rFonts w:ascii="Gill Sans MT" w:hAnsi="Gill Sans MT"/>
          <w:color w:val="000000" w:themeColor="text1"/>
        </w:rPr>
      </w:pPr>
      <w:r w:rsidRPr="00D443CB">
        <w:rPr>
          <w:rFonts w:ascii="Gill Sans MT" w:hAnsi="Gill Sans MT"/>
          <w:color w:val="000000" w:themeColor="text1"/>
        </w:rPr>
        <w:t xml:space="preserve">The pre-assessment </w:t>
      </w:r>
      <w:r w:rsidR="00C06FD6" w:rsidRPr="00D443CB">
        <w:rPr>
          <w:rFonts w:ascii="Gill Sans MT" w:hAnsi="Gill Sans MT"/>
          <w:color w:val="000000" w:themeColor="text1"/>
        </w:rPr>
        <w:t>phase</w:t>
      </w:r>
      <w:r w:rsidR="00F50A9C" w:rsidRPr="00D443CB">
        <w:rPr>
          <w:rFonts w:ascii="Gill Sans MT" w:hAnsi="Gill Sans MT"/>
          <w:color w:val="000000" w:themeColor="text1"/>
        </w:rPr>
        <w:t xml:space="preserve"> should </w:t>
      </w:r>
      <w:r w:rsidR="00C06FD6" w:rsidRPr="00D443CB">
        <w:rPr>
          <w:rFonts w:ascii="Gill Sans MT" w:hAnsi="Gill Sans MT"/>
          <w:color w:val="000000" w:themeColor="text1"/>
        </w:rPr>
        <w:t xml:space="preserve">also </w:t>
      </w:r>
      <w:r w:rsidR="00F50A9C" w:rsidRPr="00D443CB">
        <w:rPr>
          <w:rFonts w:ascii="Gill Sans MT" w:hAnsi="Gill Sans MT"/>
          <w:color w:val="000000" w:themeColor="text1"/>
        </w:rPr>
        <w:t xml:space="preserve">include a review of </w:t>
      </w:r>
      <w:r w:rsidRPr="00D443CB">
        <w:rPr>
          <w:rFonts w:ascii="Gill Sans MT" w:hAnsi="Gill Sans MT"/>
          <w:color w:val="000000" w:themeColor="text1"/>
        </w:rPr>
        <w:t xml:space="preserve">key documents such as the national TB strategic plan, national TB laboratory strategic and operational plans, most recent annual report, technical and operational guidelines, and diagnostic algorithms. Annex </w:t>
      </w:r>
      <w:r w:rsidR="00AA25E2" w:rsidRPr="00D443CB">
        <w:rPr>
          <w:rFonts w:ascii="Gill Sans MT" w:hAnsi="Gill Sans MT"/>
          <w:color w:val="000000" w:themeColor="text1"/>
        </w:rPr>
        <w:t>4</w:t>
      </w:r>
      <w:r w:rsidR="00E24672" w:rsidRPr="00D443CB">
        <w:rPr>
          <w:rFonts w:ascii="Gill Sans MT" w:hAnsi="Gill Sans MT"/>
          <w:color w:val="000000" w:themeColor="text1"/>
        </w:rPr>
        <w:t xml:space="preserve"> </w:t>
      </w:r>
      <w:r w:rsidRPr="00D443CB">
        <w:rPr>
          <w:rFonts w:ascii="Gill Sans MT" w:hAnsi="Gill Sans MT"/>
          <w:color w:val="000000" w:themeColor="text1"/>
        </w:rPr>
        <w:t>has a complete list of documents that will be needed for the assessment.</w:t>
      </w:r>
    </w:p>
    <w:p w14:paraId="1E557A5D" w14:textId="2AF9F37D" w:rsidR="003B65CC" w:rsidRPr="00D443CB" w:rsidRDefault="003B65CC" w:rsidP="008F79FE">
      <w:pPr>
        <w:spacing w:after="0" w:line="240" w:lineRule="auto"/>
        <w:jc w:val="both"/>
        <w:rPr>
          <w:rFonts w:ascii="Gill Sans MT" w:hAnsi="Gill Sans MT" w:cstheme="minorHAnsi"/>
          <w:color w:val="000000" w:themeColor="text1"/>
        </w:rPr>
      </w:pPr>
      <w:r w:rsidRPr="00D443CB">
        <w:rPr>
          <w:rFonts w:ascii="Gill Sans MT" w:hAnsi="Gill Sans MT"/>
          <w:color w:val="000000" w:themeColor="text1"/>
        </w:rPr>
        <w:t>To facilitate verification visits to peripheral and regional laboratories, where possible, facility or site-specific data (</w:t>
      </w:r>
      <w:r w:rsidR="006574D2" w:rsidRPr="00D443CB">
        <w:rPr>
          <w:rFonts w:ascii="Gill Sans MT" w:hAnsi="Gill Sans MT"/>
          <w:color w:val="000000" w:themeColor="text1"/>
        </w:rPr>
        <w:t>e.g.</w:t>
      </w:r>
      <w:r w:rsidRPr="00D443CB">
        <w:rPr>
          <w:rFonts w:ascii="Gill Sans MT" w:hAnsi="Gill Sans MT"/>
          <w:color w:val="000000" w:themeColor="text1"/>
        </w:rPr>
        <w:t xml:space="preserve">, </w:t>
      </w:r>
      <w:r w:rsidR="002F3EDF" w:rsidRPr="00D443CB">
        <w:rPr>
          <w:rFonts w:ascii="Gill Sans MT" w:hAnsi="Gill Sans MT"/>
          <w:color w:val="000000" w:themeColor="text1"/>
        </w:rPr>
        <w:t xml:space="preserve">testing statistics and </w:t>
      </w:r>
      <w:r w:rsidR="00B662A4" w:rsidRPr="00D443CB">
        <w:rPr>
          <w:rFonts w:ascii="Gill Sans MT" w:hAnsi="Gill Sans MT"/>
          <w:color w:val="000000" w:themeColor="text1"/>
        </w:rPr>
        <w:t xml:space="preserve">key performance indicators for </w:t>
      </w:r>
      <w:r w:rsidRPr="00D443CB">
        <w:rPr>
          <w:rFonts w:ascii="Gill Sans MT" w:hAnsi="Gill Sans MT"/>
          <w:color w:val="000000" w:themeColor="text1"/>
        </w:rPr>
        <w:t xml:space="preserve">tests done, </w:t>
      </w:r>
      <w:r w:rsidRPr="00D443CB">
        <w:rPr>
          <w:rFonts w:ascii="Gill Sans MT" w:hAnsi="Gill Sans MT"/>
          <w:i/>
          <w:color w:val="000000" w:themeColor="text1"/>
        </w:rPr>
        <w:t>etc</w:t>
      </w:r>
      <w:r w:rsidRPr="00D443CB">
        <w:rPr>
          <w:rFonts w:ascii="Gill Sans MT" w:hAnsi="Gill Sans MT"/>
          <w:color w:val="000000" w:themeColor="text1"/>
        </w:rPr>
        <w:t>.) sho</w:t>
      </w:r>
      <w:r w:rsidRPr="00D443CB">
        <w:rPr>
          <w:rFonts w:ascii="Gill Sans MT" w:hAnsi="Gill Sans MT" w:cstheme="minorHAnsi"/>
          <w:color w:val="000000" w:themeColor="text1"/>
        </w:rPr>
        <w:t xml:space="preserve">uld be collected and key variables analyzed and compiled in a usable format and made available to the assessment team prior to the site visits (see Annex </w:t>
      </w:r>
      <w:r w:rsidR="00AA25E2" w:rsidRPr="00D443CB">
        <w:rPr>
          <w:rFonts w:ascii="Gill Sans MT" w:hAnsi="Gill Sans MT" w:cstheme="minorHAnsi"/>
          <w:color w:val="000000" w:themeColor="text1"/>
        </w:rPr>
        <w:t>5</w:t>
      </w:r>
      <w:r w:rsidRPr="00D443CB">
        <w:rPr>
          <w:rFonts w:ascii="Gill Sans MT" w:hAnsi="Gill Sans MT" w:cstheme="minorHAnsi"/>
          <w:color w:val="000000" w:themeColor="text1"/>
        </w:rPr>
        <w:t>. Laboratory statistics and data collection forms).</w:t>
      </w:r>
    </w:p>
    <w:p w14:paraId="5043F410" w14:textId="77777777" w:rsidR="003B65CC" w:rsidRPr="00D443CB" w:rsidRDefault="003B65CC" w:rsidP="003B65CC">
      <w:pPr>
        <w:spacing w:after="0" w:line="240" w:lineRule="auto"/>
        <w:rPr>
          <w:rFonts w:ascii="Gill Sans MT" w:hAnsi="Gill Sans MT" w:cstheme="minorHAnsi"/>
          <w:color w:val="000000" w:themeColor="text1"/>
        </w:rPr>
      </w:pPr>
    </w:p>
    <w:p w14:paraId="59F6DF14" w14:textId="6A538485" w:rsidR="003B65CC" w:rsidRPr="00D443CB" w:rsidRDefault="003B65CC" w:rsidP="003B65CC">
      <w:pPr>
        <w:pStyle w:val="Heading2"/>
        <w:spacing w:before="0" w:after="120" w:line="240" w:lineRule="auto"/>
        <w:rPr>
          <w:rFonts w:ascii="Gill Sans MT" w:hAnsi="Gill Sans MT" w:cstheme="minorHAnsi"/>
          <w:sz w:val="24"/>
        </w:rPr>
      </w:pPr>
      <w:bookmarkStart w:id="25" w:name="_Toc37317824"/>
      <w:r w:rsidRPr="00D443CB">
        <w:rPr>
          <w:rFonts w:ascii="Gill Sans MT" w:hAnsi="Gill Sans MT" w:cstheme="minorHAnsi"/>
          <w:sz w:val="24"/>
        </w:rPr>
        <w:t xml:space="preserve">2. Self-assessment </w:t>
      </w:r>
      <w:r w:rsidR="00681854" w:rsidRPr="00D443CB">
        <w:rPr>
          <w:rFonts w:ascii="Gill Sans MT" w:hAnsi="Gill Sans MT" w:cstheme="minorHAnsi"/>
          <w:sz w:val="24"/>
        </w:rPr>
        <w:t xml:space="preserve">staging </w:t>
      </w:r>
      <w:r w:rsidRPr="00D443CB">
        <w:rPr>
          <w:rFonts w:ascii="Gill Sans MT" w:hAnsi="Gill Sans MT" w:cstheme="minorHAnsi"/>
          <w:sz w:val="24"/>
        </w:rPr>
        <w:t>of TB diagnostic network core capacities</w:t>
      </w:r>
      <w:bookmarkEnd w:id="25"/>
    </w:p>
    <w:p w14:paraId="6ED8F73A" w14:textId="39E2E886" w:rsidR="003B65CC" w:rsidRPr="00D443CB" w:rsidRDefault="003B65CC" w:rsidP="008F79FE">
      <w:pPr>
        <w:spacing w:after="0" w:line="240" w:lineRule="auto"/>
        <w:jc w:val="both"/>
        <w:rPr>
          <w:rFonts w:ascii="Gill Sans MT" w:hAnsi="Gill Sans MT" w:cstheme="minorHAnsi"/>
          <w:color w:val="000000" w:themeColor="text1"/>
        </w:rPr>
      </w:pPr>
      <w:r w:rsidRPr="00D443CB">
        <w:rPr>
          <w:rFonts w:ascii="Gill Sans MT" w:hAnsi="Gill Sans MT" w:cstheme="minorHAnsi"/>
          <w:color w:val="000000" w:themeColor="text1"/>
        </w:rPr>
        <w:t xml:space="preserve">The country should perform a self-assessment of their capacity in key diagnostic network areas by identifying their capability stage using the </w:t>
      </w:r>
      <w:r w:rsidR="005805FA" w:rsidRPr="00D443CB">
        <w:rPr>
          <w:rFonts w:ascii="Gill Sans MT" w:hAnsi="Gill Sans MT" w:cstheme="minorHAnsi"/>
          <w:color w:val="000000" w:themeColor="text1"/>
        </w:rPr>
        <w:t>TB-Net Tool</w:t>
      </w:r>
      <w:r w:rsidRPr="00D443CB">
        <w:rPr>
          <w:rFonts w:ascii="Gill Sans MT" w:hAnsi="Gill Sans MT" w:cstheme="minorHAnsi"/>
          <w:color w:val="000000" w:themeColor="text1"/>
        </w:rPr>
        <w:t xml:space="preserve"> which has pre-defined criteria (components and questions) for each of the </w:t>
      </w:r>
      <w:r w:rsidR="0080388B" w:rsidRPr="00D443CB">
        <w:rPr>
          <w:rFonts w:ascii="Gill Sans MT" w:hAnsi="Gill Sans MT" w:cstheme="minorHAnsi"/>
          <w:color w:val="000000" w:themeColor="text1"/>
        </w:rPr>
        <w:t xml:space="preserve">ten </w:t>
      </w:r>
      <w:r w:rsidRPr="00D443CB">
        <w:rPr>
          <w:rFonts w:ascii="Gill Sans MT" w:hAnsi="Gill Sans MT" w:cstheme="minorHAnsi"/>
          <w:color w:val="000000" w:themeColor="text1"/>
        </w:rPr>
        <w:t xml:space="preserve">core capacities. The self-assessment </w:t>
      </w:r>
      <w:r w:rsidR="000B4FD4" w:rsidRPr="00D443CB">
        <w:rPr>
          <w:rFonts w:ascii="Gill Sans MT" w:hAnsi="Gill Sans MT" w:cstheme="minorHAnsi"/>
          <w:color w:val="000000" w:themeColor="text1"/>
        </w:rPr>
        <w:t xml:space="preserve">should </w:t>
      </w:r>
      <w:r w:rsidRPr="00D443CB">
        <w:rPr>
          <w:rFonts w:ascii="Gill Sans MT" w:hAnsi="Gill Sans MT" w:cstheme="minorHAnsi"/>
          <w:color w:val="000000" w:themeColor="text1"/>
        </w:rPr>
        <w:t>be performed by a small technical group including representatives of the national TB program</w:t>
      </w:r>
      <w:r w:rsidR="00396891" w:rsidRPr="00D443CB">
        <w:rPr>
          <w:rFonts w:ascii="Gill Sans MT" w:hAnsi="Gill Sans MT" w:cstheme="minorHAnsi"/>
          <w:color w:val="000000" w:themeColor="text1"/>
        </w:rPr>
        <w:t xml:space="preserve"> (NTP)</w:t>
      </w:r>
      <w:r w:rsidRPr="00D443CB">
        <w:rPr>
          <w:rFonts w:ascii="Gill Sans MT" w:hAnsi="Gill Sans MT" w:cstheme="minorHAnsi"/>
          <w:color w:val="000000" w:themeColor="text1"/>
        </w:rPr>
        <w:t>, national TB reference laboratory</w:t>
      </w:r>
      <w:r w:rsidR="00396891" w:rsidRPr="00D443CB">
        <w:rPr>
          <w:rFonts w:ascii="Gill Sans MT" w:hAnsi="Gill Sans MT" w:cstheme="minorHAnsi"/>
          <w:color w:val="000000" w:themeColor="text1"/>
        </w:rPr>
        <w:t xml:space="preserve"> (NRL)</w:t>
      </w:r>
      <w:r w:rsidRPr="00D443CB">
        <w:rPr>
          <w:rFonts w:ascii="Gill Sans MT" w:hAnsi="Gill Sans MT" w:cstheme="minorHAnsi"/>
          <w:color w:val="000000" w:themeColor="text1"/>
        </w:rPr>
        <w:t xml:space="preserve"> and intermediate reference laboratories </w:t>
      </w:r>
      <w:r w:rsidR="00396891" w:rsidRPr="00D443CB">
        <w:rPr>
          <w:rFonts w:ascii="Gill Sans MT" w:hAnsi="Gill Sans MT" w:cstheme="minorHAnsi"/>
          <w:color w:val="000000" w:themeColor="text1"/>
        </w:rPr>
        <w:t xml:space="preserve">(IRLs) </w:t>
      </w:r>
      <w:r w:rsidRPr="00D443CB">
        <w:rPr>
          <w:rFonts w:ascii="Gill Sans MT" w:hAnsi="Gill Sans MT" w:cstheme="minorHAnsi"/>
          <w:color w:val="000000" w:themeColor="text1"/>
        </w:rPr>
        <w:t xml:space="preserve">as well as other national level laboratory, program and clinical experts. </w:t>
      </w:r>
      <w:r w:rsidR="000B4FD4" w:rsidRPr="00D443CB">
        <w:rPr>
          <w:rFonts w:ascii="Gill Sans MT" w:hAnsi="Gill Sans MT" w:cstheme="minorHAnsi"/>
          <w:color w:val="000000" w:themeColor="text1"/>
        </w:rPr>
        <w:t xml:space="preserve">Technical </w:t>
      </w:r>
      <w:r w:rsidR="0086766F" w:rsidRPr="00D443CB">
        <w:rPr>
          <w:rFonts w:ascii="Gill Sans MT" w:hAnsi="Gill Sans MT" w:cstheme="minorHAnsi"/>
          <w:color w:val="000000" w:themeColor="text1"/>
        </w:rPr>
        <w:t>assistance</w:t>
      </w:r>
      <w:r w:rsidR="000B4FD4" w:rsidRPr="00D443CB">
        <w:rPr>
          <w:rFonts w:ascii="Gill Sans MT" w:hAnsi="Gill Sans MT" w:cstheme="minorHAnsi"/>
          <w:color w:val="000000" w:themeColor="text1"/>
        </w:rPr>
        <w:t xml:space="preserve"> to guide the self-assessment</w:t>
      </w:r>
      <w:r w:rsidR="0086766F" w:rsidRPr="00D443CB">
        <w:rPr>
          <w:rFonts w:ascii="Gill Sans MT" w:hAnsi="Gill Sans MT" w:cstheme="minorHAnsi"/>
          <w:color w:val="000000" w:themeColor="text1"/>
        </w:rPr>
        <w:t xml:space="preserve"> may be needed in some cases. </w:t>
      </w:r>
      <w:r w:rsidR="000B4FD4" w:rsidRPr="00D443CB">
        <w:rPr>
          <w:rFonts w:ascii="Gill Sans MT" w:hAnsi="Gill Sans MT" w:cstheme="minorHAnsi"/>
          <w:color w:val="000000" w:themeColor="text1"/>
        </w:rPr>
        <w:t xml:space="preserve">This may come from in-country technical partners, USG, WHO or a local or international technical consultant. </w:t>
      </w:r>
      <w:r w:rsidRPr="00D443CB">
        <w:rPr>
          <w:rFonts w:ascii="Gill Sans MT" w:hAnsi="Gill Sans MT" w:cstheme="minorHAnsi"/>
          <w:color w:val="000000" w:themeColor="text1"/>
        </w:rPr>
        <w:t>The completed self-assessment should be provided to the external assessment team at least two weeks prior to the in-country visit.</w:t>
      </w:r>
    </w:p>
    <w:p w14:paraId="48B56A1F" w14:textId="77777777" w:rsidR="003B65CC" w:rsidRPr="00D443CB" w:rsidRDefault="003B65CC" w:rsidP="003F0903">
      <w:pPr>
        <w:widowControl w:val="0"/>
        <w:autoSpaceDE w:val="0"/>
        <w:autoSpaceDN w:val="0"/>
        <w:adjustRightInd w:val="0"/>
        <w:spacing w:after="0" w:line="240" w:lineRule="auto"/>
        <w:jc w:val="both"/>
        <w:rPr>
          <w:rFonts w:ascii="Gill Sans MT" w:hAnsi="Gill Sans MT" w:cstheme="minorHAnsi"/>
          <w:color w:val="000000" w:themeColor="text1"/>
        </w:rPr>
      </w:pPr>
    </w:p>
    <w:p w14:paraId="5D83652C" w14:textId="50612F7C" w:rsidR="00EC456C" w:rsidRPr="00D443CB" w:rsidRDefault="001E6D37" w:rsidP="005F59A4">
      <w:pPr>
        <w:pStyle w:val="Heading2"/>
        <w:spacing w:before="0" w:after="120" w:line="240" w:lineRule="auto"/>
        <w:rPr>
          <w:rFonts w:ascii="Gill Sans MT" w:hAnsi="Gill Sans MT" w:cstheme="minorHAnsi"/>
          <w:sz w:val="24"/>
          <w:szCs w:val="22"/>
        </w:rPr>
      </w:pPr>
      <w:bookmarkStart w:id="26" w:name="_Toc37317825"/>
      <w:r w:rsidRPr="00D443CB">
        <w:rPr>
          <w:rFonts w:ascii="Gill Sans MT" w:hAnsi="Gill Sans MT" w:cstheme="minorHAnsi"/>
          <w:sz w:val="24"/>
          <w:szCs w:val="22"/>
        </w:rPr>
        <w:t xml:space="preserve">3. </w:t>
      </w:r>
      <w:r w:rsidR="00EC456C" w:rsidRPr="00D443CB">
        <w:rPr>
          <w:rFonts w:ascii="Gill Sans MT" w:hAnsi="Gill Sans MT" w:cstheme="minorHAnsi"/>
          <w:sz w:val="24"/>
          <w:szCs w:val="22"/>
        </w:rPr>
        <w:t>Review of self-assessment and in-country verification by the assessment team</w:t>
      </w:r>
      <w:bookmarkEnd w:id="26"/>
    </w:p>
    <w:p w14:paraId="04142D2D" w14:textId="64E4AB63" w:rsidR="001E6D37" w:rsidRPr="00D443CB" w:rsidRDefault="001E6D37" w:rsidP="008F79FE">
      <w:pPr>
        <w:widowControl w:val="0"/>
        <w:autoSpaceDE w:val="0"/>
        <w:autoSpaceDN w:val="0"/>
        <w:adjustRightInd w:val="0"/>
        <w:spacing w:after="0" w:line="240" w:lineRule="auto"/>
        <w:jc w:val="both"/>
        <w:rPr>
          <w:rFonts w:ascii="Gill Sans MT" w:hAnsi="Gill Sans MT" w:cstheme="minorHAnsi"/>
          <w:color w:val="000000" w:themeColor="text1"/>
        </w:rPr>
      </w:pPr>
      <w:r w:rsidRPr="00D443CB">
        <w:rPr>
          <w:rFonts w:ascii="Gill Sans MT" w:hAnsi="Gill Sans MT" w:cstheme="minorHAnsi"/>
          <w:color w:val="000000" w:themeColor="text1"/>
        </w:rPr>
        <w:t xml:space="preserve">During </w:t>
      </w:r>
      <w:r w:rsidR="00862A9D" w:rsidRPr="00D443CB">
        <w:rPr>
          <w:rFonts w:ascii="Gill Sans MT" w:hAnsi="Gill Sans MT" w:cstheme="minorHAnsi"/>
          <w:color w:val="000000" w:themeColor="text1"/>
        </w:rPr>
        <w:t>the</w:t>
      </w:r>
      <w:r w:rsidRPr="00D443CB">
        <w:rPr>
          <w:rFonts w:ascii="Gill Sans MT" w:hAnsi="Gill Sans MT" w:cstheme="minorHAnsi"/>
          <w:color w:val="000000" w:themeColor="text1"/>
        </w:rPr>
        <w:t xml:space="preserve"> in-country visit</w:t>
      </w:r>
      <w:r w:rsidR="008418FF" w:rsidRPr="00D443CB">
        <w:rPr>
          <w:rFonts w:ascii="Gill Sans MT" w:hAnsi="Gill Sans MT" w:cstheme="minorHAnsi"/>
          <w:color w:val="000000" w:themeColor="text1"/>
        </w:rPr>
        <w:t>,</w:t>
      </w:r>
      <w:r w:rsidRPr="00D443CB">
        <w:rPr>
          <w:rFonts w:ascii="Gill Sans MT" w:hAnsi="Gill Sans MT" w:cstheme="minorHAnsi"/>
          <w:color w:val="000000" w:themeColor="text1"/>
        </w:rPr>
        <w:t xml:space="preserve"> the assessment team reviews and verifies the country’s </w:t>
      </w:r>
      <w:r w:rsidR="008418FF" w:rsidRPr="00D443CB">
        <w:rPr>
          <w:rFonts w:ascii="Gill Sans MT" w:hAnsi="Gill Sans MT" w:cstheme="minorHAnsi"/>
          <w:color w:val="000000" w:themeColor="text1"/>
        </w:rPr>
        <w:t>self-</w:t>
      </w:r>
      <w:r w:rsidR="00862A9D" w:rsidRPr="00D443CB">
        <w:rPr>
          <w:rFonts w:ascii="Gill Sans MT" w:hAnsi="Gill Sans MT" w:cstheme="minorHAnsi"/>
          <w:color w:val="000000" w:themeColor="text1"/>
        </w:rPr>
        <w:t>assessed</w:t>
      </w:r>
      <w:r w:rsidRPr="00D443CB">
        <w:rPr>
          <w:rFonts w:ascii="Gill Sans MT" w:hAnsi="Gill Sans MT" w:cstheme="minorHAnsi"/>
          <w:color w:val="000000" w:themeColor="text1"/>
        </w:rPr>
        <w:t xml:space="preserve"> stages for each component. Many components can be verified by reviewing documents (</w:t>
      </w:r>
      <w:r w:rsidR="006574D2" w:rsidRPr="00D443CB">
        <w:rPr>
          <w:rFonts w:ascii="Gill Sans MT" w:hAnsi="Gill Sans MT" w:cstheme="minorHAnsi"/>
          <w:color w:val="000000" w:themeColor="text1"/>
        </w:rPr>
        <w:t>e.g.</w:t>
      </w:r>
      <w:r w:rsidRPr="00D443CB">
        <w:rPr>
          <w:rFonts w:ascii="Gill Sans MT" w:hAnsi="Gill Sans MT" w:cstheme="minorHAnsi"/>
          <w:color w:val="000000" w:themeColor="text1"/>
        </w:rPr>
        <w:t xml:space="preserve">, the NSP) provided by the </w:t>
      </w:r>
      <w:r w:rsidR="00396891" w:rsidRPr="00D443CB">
        <w:rPr>
          <w:rFonts w:ascii="Gill Sans MT" w:hAnsi="Gill Sans MT" w:cstheme="minorHAnsi"/>
          <w:color w:val="000000" w:themeColor="text1"/>
        </w:rPr>
        <w:t>NTP</w:t>
      </w:r>
      <w:r w:rsidRPr="00D443CB">
        <w:rPr>
          <w:rFonts w:ascii="Gill Sans MT" w:hAnsi="Gill Sans MT" w:cstheme="minorHAnsi"/>
          <w:color w:val="000000" w:themeColor="text1"/>
        </w:rPr>
        <w:t xml:space="preserve">. </w:t>
      </w:r>
      <w:r w:rsidRPr="00D443CB">
        <w:rPr>
          <w:rFonts w:ascii="Gill Sans MT" w:hAnsi="Gill Sans MT" w:cstheme="minorHAnsi"/>
          <w:color w:val="000000" w:themeColor="text1"/>
        </w:rPr>
        <w:lastRenderedPageBreak/>
        <w:t xml:space="preserve">Annex </w:t>
      </w:r>
      <w:r w:rsidR="00AA25E2" w:rsidRPr="00D443CB">
        <w:rPr>
          <w:rFonts w:ascii="Gill Sans MT" w:hAnsi="Gill Sans MT" w:cstheme="minorHAnsi"/>
          <w:color w:val="000000" w:themeColor="text1"/>
        </w:rPr>
        <w:t>4</w:t>
      </w:r>
      <w:r w:rsidR="00E24672" w:rsidRPr="00D443CB">
        <w:rPr>
          <w:rFonts w:ascii="Gill Sans MT" w:hAnsi="Gill Sans MT" w:cstheme="minorHAnsi"/>
          <w:color w:val="000000" w:themeColor="text1"/>
        </w:rPr>
        <w:t xml:space="preserve"> </w:t>
      </w:r>
      <w:r w:rsidRPr="00D443CB">
        <w:rPr>
          <w:rFonts w:ascii="Gill Sans MT" w:hAnsi="Gill Sans MT" w:cstheme="minorHAnsi"/>
          <w:color w:val="000000" w:themeColor="text1"/>
        </w:rPr>
        <w:t xml:space="preserve">contains a list of documents to review for the corresponding questions. </w:t>
      </w:r>
      <w:r w:rsidR="00862A9D" w:rsidRPr="00D443CB">
        <w:rPr>
          <w:rFonts w:ascii="Gill Sans MT" w:hAnsi="Gill Sans MT" w:cstheme="minorHAnsi"/>
          <w:color w:val="000000" w:themeColor="text1"/>
        </w:rPr>
        <w:t>Stages for other questions</w:t>
      </w:r>
      <w:r w:rsidRPr="00D443CB">
        <w:rPr>
          <w:rFonts w:ascii="Gill Sans MT" w:hAnsi="Gill Sans MT" w:cstheme="minorHAnsi"/>
          <w:color w:val="000000" w:themeColor="text1"/>
        </w:rPr>
        <w:t xml:space="preserve"> (</w:t>
      </w:r>
      <w:r w:rsidR="006574D2" w:rsidRPr="00D443CB">
        <w:rPr>
          <w:rFonts w:ascii="Gill Sans MT" w:hAnsi="Gill Sans MT" w:cstheme="minorHAnsi"/>
          <w:color w:val="000000" w:themeColor="text1"/>
        </w:rPr>
        <w:t>e.g.</w:t>
      </w:r>
      <w:r w:rsidRPr="00D443CB">
        <w:rPr>
          <w:rFonts w:ascii="Gill Sans MT" w:hAnsi="Gill Sans MT" w:cstheme="minorHAnsi"/>
          <w:i/>
          <w:color w:val="000000" w:themeColor="text1"/>
        </w:rPr>
        <w:t>,</w:t>
      </w:r>
      <w:r w:rsidRPr="00D443CB">
        <w:rPr>
          <w:rFonts w:ascii="Gill Sans MT" w:hAnsi="Gill Sans MT" w:cstheme="minorHAnsi"/>
          <w:color w:val="000000" w:themeColor="text1"/>
        </w:rPr>
        <w:t xml:space="preserve"> </w:t>
      </w:r>
      <w:r w:rsidR="00862A9D" w:rsidRPr="00D443CB">
        <w:rPr>
          <w:rFonts w:ascii="Gill Sans MT" w:hAnsi="Gill Sans MT" w:cstheme="minorHAnsi"/>
          <w:color w:val="000000" w:themeColor="text1"/>
        </w:rPr>
        <w:t xml:space="preserve">Are </w:t>
      </w:r>
      <w:r w:rsidRPr="00D443CB">
        <w:rPr>
          <w:rFonts w:ascii="Gill Sans MT" w:hAnsi="Gill Sans MT" w:cstheme="minorHAnsi"/>
          <w:color w:val="000000" w:themeColor="text1"/>
        </w:rPr>
        <w:t>SOPS followed at all levels of the diagnostic network</w:t>
      </w:r>
      <w:r w:rsidR="00862A9D" w:rsidRPr="00D443CB">
        <w:rPr>
          <w:rFonts w:ascii="Gill Sans MT" w:hAnsi="Gill Sans MT" w:cstheme="minorHAnsi"/>
          <w:color w:val="000000" w:themeColor="text1"/>
        </w:rPr>
        <w:t>?</w:t>
      </w:r>
      <w:r w:rsidRPr="00D443CB">
        <w:rPr>
          <w:rFonts w:ascii="Gill Sans MT" w:hAnsi="Gill Sans MT" w:cstheme="minorHAnsi"/>
          <w:color w:val="000000" w:themeColor="text1"/>
        </w:rPr>
        <w:t xml:space="preserve">) </w:t>
      </w:r>
      <w:r w:rsidR="00983AA3" w:rsidRPr="00D443CB">
        <w:rPr>
          <w:rFonts w:ascii="Gill Sans MT" w:hAnsi="Gill Sans MT" w:cstheme="minorHAnsi"/>
          <w:color w:val="000000" w:themeColor="text1"/>
        </w:rPr>
        <w:t>are</w:t>
      </w:r>
      <w:r w:rsidRPr="00D443CB">
        <w:rPr>
          <w:rFonts w:ascii="Gill Sans MT" w:hAnsi="Gill Sans MT" w:cstheme="minorHAnsi"/>
          <w:color w:val="000000" w:themeColor="text1"/>
        </w:rPr>
        <w:t xml:space="preserve"> </w:t>
      </w:r>
      <w:r w:rsidR="00862A9D" w:rsidRPr="00D443CB">
        <w:rPr>
          <w:rFonts w:ascii="Gill Sans MT" w:hAnsi="Gill Sans MT" w:cstheme="minorHAnsi"/>
          <w:color w:val="000000" w:themeColor="text1"/>
        </w:rPr>
        <w:t>assessed</w:t>
      </w:r>
      <w:r w:rsidRPr="00D443CB">
        <w:rPr>
          <w:rFonts w:ascii="Gill Sans MT" w:hAnsi="Gill Sans MT" w:cstheme="minorHAnsi"/>
          <w:color w:val="000000" w:themeColor="text1"/>
        </w:rPr>
        <w:t xml:space="preserve"> during </w:t>
      </w:r>
      <w:r w:rsidR="00862A9D" w:rsidRPr="00D443CB">
        <w:rPr>
          <w:rFonts w:ascii="Gill Sans MT" w:hAnsi="Gill Sans MT" w:cstheme="minorHAnsi"/>
          <w:color w:val="000000" w:themeColor="text1"/>
        </w:rPr>
        <w:t xml:space="preserve">‘verification’ </w:t>
      </w:r>
      <w:r w:rsidRPr="00D443CB">
        <w:rPr>
          <w:rFonts w:ascii="Gill Sans MT" w:hAnsi="Gill Sans MT" w:cstheme="minorHAnsi"/>
          <w:color w:val="000000" w:themeColor="text1"/>
        </w:rPr>
        <w:t xml:space="preserve">visits to </w:t>
      </w:r>
      <w:r w:rsidR="00396891" w:rsidRPr="00D443CB">
        <w:rPr>
          <w:rFonts w:ascii="Gill Sans MT" w:hAnsi="Gill Sans MT" w:cstheme="minorHAnsi"/>
          <w:color w:val="000000" w:themeColor="text1"/>
        </w:rPr>
        <w:t>NRL</w:t>
      </w:r>
      <w:r w:rsidRPr="00D443CB">
        <w:rPr>
          <w:rFonts w:ascii="Gill Sans MT" w:hAnsi="Gill Sans MT" w:cstheme="minorHAnsi"/>
          <w:color w:val="000000" w:themeColor="text1"/>
        </w:rPr>
        <w:t xml:space="preserve">, </w:t>
      </w:r>
      <w:r w:rsidR="00396891" w:rsidRPr="00D443CB">
        <w:rPr>
          <w:rFonts w:ascii="Gill Sans MT" w:hAnsi="Gill Sans MT" w:cstheme="minorHAnsi"/>
          <w:color w:val="000000" w:themeColor="text1"/>
        </w:rPr>
        <w:t xml:space="preserve">IRLs </w:t>
      </w:r>
      <w:r w:rsidRPr="00D443CB">
        <w:rPr>
          <w:rFonts w:ascii="Gill Sans MT" w:hAnsi="Gill Sans MT" w:cstheme="minorHAnsi"/>
          <w:color w:val="000000" w:themeColor="text1"/>
        </w:rPr>
        <w:t>and peripheral laboratories</w:t>
      </w:r>
      <w:r w:rsidR="00396891" w:rsidRPr="00D443CB">
        <w:rPr>
          <w:rFonts w:ascii="Gill Sans MT" w:hAnsi="Gill Sans MT" w:cstheme="minorHAnsi"/>
          <w:color w:val="000000" w:themeColor="text1"/>
        </w:rPr>
        <w:t xml:space="preserve"> (PLs)</w:t>
      </w:r>
      <w:r w:rsidR="008A706A" w:rsidRPr="00D443CB">
        <w:rPr>
          <w:rFonts w:ascii="Gill Sans MT" w:hAnsi="Gill Sans MT" w:cstheme="minorHAnsi"/>
          <w:color w:val="000000" w:themeColor="text1"/>
        </w:rPr>
        <w:t xml:space="preserve">. Verification will also require </w:t>
      </w:r>
      <w:r w:rsidR="000B4FD4" w:rsidRPr="00D443CB">
        <w:rPr>
          <w:rFonts w:ascii="Gill Sans MT" w:hAnsi="Gill Sans MT" w:cstheme="minorHAnsi"/>
          <w:color w:val="000000" w:themeColor="text1"/>
        </w:rPr>
        <w:t xml:space="preserve">interviews with national, intermediate and peripheral program </w:t>
      </w:r>
      <w:r w:rsidR="008A706A" w:rsidRPr="00D443CB">
        <w:rPr>
          <w:rFonts w:ascii="Gill Sans MT" w:hAnsi="Gill Sans MT" w:cstheme="minorHAnsi"/>
          <w:color w:val="000000" w:themeColor="text1"/>
        </w:rPr>
        <w:t xml:space="preserve">and clinical </w:t>
      </w:r>
      <w:r w:rsidR="000B4FD4" w:rsidRPr="00D443CB">
        <w:rPr>
          <w:rFonts w:ascii="Gill Sans MT" w:hAnsi="Gill Sans MT" w:cstheme="minorHAnsi"/>
          <w:color w:val="000000" w:themeColor="text1"/>
        </w:rPr>
        <w:t>staff</w:t>
      </w:r>
      <w:r w:rsidR="008A706A" w:rsidRPr="00D443CB">
        <w:rPr>
          <w:rFonts w:ascii="Gill Sans MT" w:hAnsi="Gill Sans MT" w:cstheme="minorHAnsi"/>
          <w:color w:val="000000" w:themeColor="text1"/>
        </w:rPr>
        <w:t xml:space="preserve"> (e.g., District TB Officers, District Heath Officers, MDR-TB focal persons, etc.)</w:t>
      </w:r>
      <w:r w:rsidRPr="00D443CB">
        <w:rPr>
          <w:rFonts w:ascii="Gill Sans MT" w:hAnsi="Gill Sans MT" w:cstheme="minorHAnsi"/>
          <w:color w:val="000000" w:themeColor="text1"/>
        </w:rPr>
        <w:t>.</w:t>
      </w:r>
    </w:p>
    <w:p w14:paraId="38F3F52B" w14:textId="77777777" w:rsidR="008A7278" w:rsidRPr="00D443CB" w:rsidRDefault="008A7278">
      <w:pPr>
        <w:widowControl w:val="0"/>
        <w:autoSpaceDE w:val="0"/>
        <w:autoSpaceDN w:val="0"/>
        <w:adjustRightInd w:val="0"/>
        <w:spacing w:after="0" w:line="240" w:lineRule="auto"/>
        <w:jc w:val="both"/>
        <w:rPr>
          <w:rFonts w:ascii="Gill Sans MT" w:hAnsi="Gill Sans MT" w:cstheme="minorHAnsi"/>
          <w:color w:val="000000" w:themeColor="text1"/>
        </w:rPr>
      </w:pPr>
    </w:p>
    <w:p w14:paraId="6520B3FA" w14:textId="469CF4E4" w:rsidR="009608DA" w:rsidRPr="00D443CB" w:rsidRDefault="001E6D37" w:rsidP="008F79FE">
      <w:pPr>
        <w:widowControl w:val="0"/>
        <w:autoSpaceDE w:val="0"/>
        <w:autoSpaceDN w:val="0"/>
        <w:adjustRightInd w:val="0"/>
        <w:spacing w:after="0" w:line="240" w:lineRule="auto"/>
        <w:jc w:val="both"/>
        <w:rPr>
          <w:rFonts w:ascii="Gill Sans MT" w:hAnsi="Gill Sans MT" w:cstheme="minorHAnsi"/>
          <w:color w:val="000000" w:themeColor="text1"/>
        </w:rPr>
      </w:pPr>
      <w:r w:rsidRPr="00D443CB">
        <w:rPr>
          <w:rFonts w:ascii="Gill Sans MT" w:hAnsi="Gill Sans MT" w:cstheme="minorHAnsi"/>
          <w:color w:val="000000" w:themeColor="text1"/>
        </w:rPr>
        <w:t xml:space="preserve">A standard list of questions </w:t>
      </w:r>
      <w:r w:rsidR="008418FF" w:rsidRPr="00D443CB">
        <w:rPr>
          <w:rFonts w:ascii="Gill Sans MT" w:hAnsi="Gill Sans MT" w:cstheme="minorHAnsi"/>
          <w:color w:val="000000" w:themeColor="text1"/>
        </w:rPr>
        <w:t xml:space="preserve">to guide the verification process </w:t>
      </w:r>
      <w:r w:rsidRPr="00D443CB">
        <w:rPr>
          <w:rFonts w:ascii="Gill Sans MT" w:hAnsi="Gill Sans MT" w:cstheme="minorHAnsi"/>
          <w:color w:val="000000" w:themeColor="text1"/>
        </w:rPr>
        <w:t xml:space="preserve">for each core capacity and component </w:t>
      </w:r>
      <w:r w:rsidR="004F44E7" w:rsidRPr="00D443CB">
        <w:rPr>
          <w:rFonts w:ascii="Gill Sans MT" w:hAnsi="Gill Sans MT" w:cstheme="minorHAnsi"/>
          <w:color w:val="000000" w:themeColor="text1"/>
        </w:rPr>
        <w:t xml:space="preserve">is in Annex </w:t>
      </w:r>
      <w:r w:rsidR="00F86085" w:rsidRPr="00D443CB">
        <w:rPr>
          <w:rFonts w:ascii="Gill Sans MT" w:hAnsi="Gill Sans MT" w:cstheme="minorHAnsi"/>
          <w:color w:val="000000" w:themeColor="text1"/>
        </w:rPr>
        <w:t>6</w:t>
      </w:r>
      <w:r w:rsidR="004F44E7" w:rsidRPr="00D443CB">
        <w:rPr>
          <w:rFonts w:ascii="Gill Sans MT" w:hAnsi="Gill Sans MT" w:cstheme="minorHAnsi"/>
          <w:color w:val="000000" w:themeColor="text1"/>
        </w:rPr>
        <w:t xml:space="preserve">. The checklist is used during </w:t>
      </w:r>
      <w:bookmarkStart w:id="27" w:name="_Hlk519839445"/>
      <w:r w:rsidR="004F44E7" w:rsidRPr="00D443CB">
        <w:rPr>
          <w:rFonts w:ascii="Gill Sans MT" w:hAnsi="Gill Sans MT" w:cstheme="minorHAnsi"/>
          <w:color w:val="000000" w:themeColor="text1"/>
        </w:rPr>
        <w:t xml:space="preserve">site visits </w:t>
      </w:r>
      <w:r w:rsidR="00D70940" w:rsidRPr="00D443CB">
        <w:rPr>
          <w:rFonts w:ascii="Gill Sans MT" w:hAnsi="Gill Sans MT" w:cstheme="minorHAnsi"/>
          <w:color w:val="000000" w:themeColor="text1"/>
        </w:rPr>
        <w:t xml:space="preserve">with laboratory and program staff at the national, intermediate and peripheral levels </w:t>
      </w:r>
      <w:r w:rsidR="004F44E7" w:rsidRPr="00D443CB">
        <w:rPr>
          <w:rFonts w:ascii="Gill Sans MT" w:hAnsi="Gill Sans MT" w:cstheme="minorHAnsi"/>
          <w:color w:val="000000" w:themeColor="text1"/>
        </w:rPr>
        <w:t>to verify the self-assessment done by the national program</w:t>
      </w:r>
      <w:bookmarkEnd w:id="27"/>
      <w:r w:rsidR="004F44E7" w:rsidRPr="00D443CB">
        <w:rPr>
          <w:rFonts w:ascii="Gill Sans MT" w:hAnsi="Gill Sans MT" w:cstheme="minorHAnsi"/>
          <w:color w:val="000000" w:themeColor="text1"/>
        </w:rPr>
        <w:t xml:space="preserve">. Not all </w:t>
      </w:r>
      <w:r w:rsidR="005805FA" w:rsidRPr="00D443CB">
        <w:rPr>
          <w:rFonts w:ascii="Gill Sans MT" w:hAnsi="Gill Sans MT" w:cstheme="minorHAnsi"/>
          <w:color w:val="000000" w:themeColor="text1"/>
        </w:rPr>
        <w:t>TB-Net Tool</w:t>
      </w:r>
      <w:r w:rsidR="004F44E7" w:rsidRPr="00D443CB">
        <w:rPr>
          <w:rFonts w:ascii="Gill Sans MT" w:hAnsi="Gill Sans MT" w:cstheme="minorHAnsi"/>
          <w:color w:val="000000" w:themeColor="text1"/>
        </w:rPr>
        <w:t xml:space="preserve"> questions are </w:t>
      </w:r>
      <w:r w:rsidR="00862A9D" w:rsidRPr="00D443CB">
        <w:rPr>
          <w:rFonts w:ascii="Gill Sans MT" w:hAnsi="Gill Sans MT" w:cstheme="minorHAnsi"/>
          <w:color w:val="000000" w:themeColor="text1"/>
        </w:rPr>
        <w:t xml:space="preserve">to be </w:t>
      </w:r>
      <w:r w:rsidR="004F44E7" w:rsidRPr="00D443CB">
        <w:rPr>
          <w:rFonts w:ascii="Gill Sans MT" w:hAnsi="Gill Sans MT" w:cstheme="minorHAnsi"/>
          <w:color w:val="000000" w:themeColor="text1"/>
        </w:rPr>
        <w:t>ver</w:t>
      </w:r>
      <w:r w:rsidR="005253E2" w:rsidRPr="00D443CB">
        <w:rPr>
          <w:rFonts w:ascii="Gill Sans MT" w:hAnsi="Gill Sans MT" w:cstheme="minorHAnsi"/>
          <w:color w:val="000000" w:themeColor="text1"/>
        </w:rPr>
        <w:t>ified at</w:t>
      </w:r>
      <w:r w:rsidR="00213FEE" w:rsidRPr="00D443CB">
        <w:rPr>
          <w:rFonts w:ascii="Gill Sans MT" w:hAnsi="Gill Sans MT" w:cstheme="minorHAnsi"/>
          <w:color w:val="000000" w:themeColor="text1"/>
        </w:rPr>
        <w:t xml:space="preserve"> all</w:t>
      </w:r>
      <w:r w:rsidR="005253E2" w:rsidRPr="00D443CB">
        <w:rPr>
          <w:rFonts w:ascii="Gill Sans MT" w:hAnsi="Gill Sans MT" w:cstheme="minorHAnsi"/>
          <w:color w:val="000000" w:themeColor="text1"/>
        </w:rPr>
        <w:t xml:space="preserve"> levels of the network</w:t>
      </w:r>
      <w:r w:rsidR="005253E2" w:rsidRPr="00D443CB">
        <w:rPr>
          <w:rFonts w:ascii="Gill Sans MT" w:hAnsi="Gill Sans MT" w:cstheme="minorHAnsi"/>
          <w:b/>
          <w:color w:val="000000" w:themeColor="text1"/>
        </w:rPr>
        <w:t xml:space="preserve">. </w:t>
      </w:r>
      <w:r w:rsidR="009608DA" w:rsidRPr="00D443CB">
        <w:rPr>
          <w:rFonts w:ascii="Gill Sans MT" w:hAnsi="Gill Sans MT" w:cstheme="minorHAnsi"/>
          <w:b/>
          <w:color w:val="000000" w:themeColor="text1"/>
        </w:rPr>
        <w:t>Verifying the answers for all questions at all levels raises the possibility of the verification visits becoming site assessment visits — something to be avoided.</w:t>
      </w:r>
      <w:r w:rsidR="009608DA" w:rsidRPr="00D443CB">
        <w:rPr>
          <w:rFonts w:ascii="Gill Sans MT" w:hAnsi="Gill Sans MT" w:cstheme="minorHAnsi"/>
          <w:color w:val="000000" w:themeColor="text1"/>
        </w:rPr>
        <w:t xml:space="preserve"> Stage-defining questions that are important to ask at peripheral laboratories are marked with </w:t>
      </w:r>
      <w:r w:rsidR="009608DA" w:rsidRPr="00D443CB">
        <w:rPr>
          <w:rFonts w:ascii="Gill Sans MT" w:hAnsi="Gill Sans MT" w:cs="Calibri"/>
        </w:rPr>
        <w:t>an ‘</w:t>
      </w:r>
      <w:r w:rsidR="009608DA" w:rsidRPr="00D443CB">
        <w:rPr>
          <w:rFonts w:ascii="Gill Sans MT" w:eastAsia="Wingdings 2" w:hAnsi="Gill Sans MT" w:cs="Wingdings 2"/>
          <w:b/>
          <w:color w:val="000000"/>
          <w:sz w:val="20"/>
          <w:szCs w:val="20"/>
        </w:rPr>
        <w:t></w:t>
      </w:r>
      <w:r w:rsidR="009608DA" w:rsidRPr="00D443CB">
        <w:rPr>
          <w:rFonts w:ascii="Gill Sans MT" w:hAnsi="Gill Sans MT" w:cs="Calibri"/>
          <w:b/>
          <w:color w:val="000000"/>
          <w:sz w:val="20"/>
          <w:szCs w:val="20"/>
        </w:rPr>
        <w:t>’</w:t>
      </w:r>
      <w:r w:rsidR="009608DA" w:rsidRPr="00D443CB">
        <w:rPr>
          <w:rFonts w:ascii="Gill Sans MT" w:hAnsi="Gill Sans MT" w:cs="Calibri"/>
          <w:color w:val="000000"/>
          <w:sz w:val="20"/>
          <w:szCs w:val="20"/>
        </w:rPr>
        <w:t xml:space="preserve"> </w:t>
      </w:r>
      <w:r w:rsidR="009608DA" w:rsidRPr="00D443CB">
        <w:rPr>
          <w:rFonts w:ascii="Gill Sans MT" w:hAnsi="Gill Sans MT" w:cstheme="minorHAnsi"/>
          <w:color w:val="000000" w:themeColor="text1"/>
        </w:rPr>
        <w:t xml:space="preserve">in the checklist in Annex </w:t>
      </w:r>
      <w:r w:rsidR="00F86085" w:rsidRPr="00D443CB">
        <w:rPr>
          <w:rFonts w:ascii="Gill Sans MT" w:hAnsi="Gill Sans MT" w:cstheme="minorHAnsi"/>
          <w:color w:val="000000" w:themeColor="text1"/>
        </w:rPr>
        <w:t>6</w:t>
      </w:r>
      <w:r w:rsidR="009608DA" w:rsidRPr="00D443CB">
        <w:rPr>
          <w:rFonts w:ascii="Gill Sans MT" w:hAnsi="Gill Sans MT" w:cstheme="minorHAnsi"/>
          <w:color w:val="000000" w:themeColor="text1"/>
        </w:rPr>
        <w:t xml:space="preserve">. </w:t>
      </w:r>
      <w:r w:rsidR="00D70940" w:rsidRPr="00D443CB">
        <w:rPr>
          <w:rFonts w:ascii="Gill Sans MT" w:hAnsi="Gill Sans MT" w:cstheme="minorHAnsi"/>
          <w:color w:val="000000" w:themeColor="text1"/>
        </w:rPr>
        <w:t>Verification will involve interviews with laboratory and program staff at each level.</w:t>
      </w:r>
      <w:r w:rsidR="004F44E7" w:rsidRPr="00D443CB">
        <w:rPr>
          <w:rFonts w:ascii="Gill Sans MT" w:hAnsi="Gill Sans MT" w:cstheme="minorHAnsi"/>
          <w:color w:val="000000" w:themeColor="text1"/>
        </w:rPr>
        <w:t xml:space="preserve"> </w:t>
      </w:r>
    </w:p>
    <w:p w14:paraId="0F0C1E72" w14:textId="77777777" w:rsidR="009608DA" w:rsidRPr="00D443CB" w:rsidRDefault="009608DA" w:rsidP="008F79FE">
      <w:pPr>
        <w:widowControl w:val="0"/>
        <w:autoSpaceDE w:val="0"/>
        <w:autoSpaceDN w:val="0"/>
        <w:adjustRightInd w:val="0"/>
        <w:spacing w:after="0" w:line="240" w:lineRule="auto"/>
        <w:jc w:val="both"/>
        <w:rPr>
          <w:rFonts w:ascii="Gill Sans MT" w:hAnsi="Gill Sans MT" w:cstheme="minorHAnsi"/>
          <w:color w:val="000000" w:themeColor="text1"/>
        </w:rPr>
      </w:pPr>
    </w:p>
    <w:p w14:paraId="5E6F10FC" w14:textId="71DA9381" w:rsidR="004F44E7" w:rsidRPr="00D443CB" w:rsidRDefault="004F44E7" w:rsidP="008F79FE">
      <w:pPr>
        <w:widowControl w:val="0"/>
        <w:autoSpaceDE w:val="0"/>
        <w:autoSpaceDN w:val="0"/>
        <w:adjustRightInd w:val="0"/>
        <w:spacing w:after="0" w:line="240" w:lineRule="auto"/>
        <w:jc w:val="both"/>
        <w:rPr>
          <w:rFonts w:ascii="Gill Sans MT" w:hAnsi="Gill Sans MT" w:cstheme="minorHAnsi"/>
          <w:color w:val="000000" w:themeColor="text1"/>
        </w:rPr>
      </w:pPr>
      <w:r w:rsidRPr="00D443CB">
        <w:rPr>
          <w:rFonts w:ascii="Gill Sans MT" w:hAnsi="Gill Sans MT" w:cstheme="minorHAnsi"/>
          <w:color w:val="000000" w:themeColor="text1"/>
        </w:rPr>
        <w:t xml:space="preserve">Most questions </w:t>
      </w:r>
      <w:r w:rsidR="00396891" w:rsidRPr="00D443CB">
        <w:rPr>
          <w:rFonts w:ascii="Gill Sans MT" w:hAnsi="Gill Sans MT" w:cstheme="minorHAnsi"/>
          <w:color w:val="000000" w:themeColor="text1"/>
        </w:rPr>
        <w:t>will be</w:t>
      </w:r>
      <w:r w:rsidRPr="00D443CB">
        <w:rPr>
          <w:rFonts w:ascii="Gill Sans MT" w:hAnsi="Gill Sans MT" w:cstheme="minorHAnsi"/>
          <w:color w:val="000000" w:themeColor="text1"/>
        </w:rPr>
        <w:t xml:space="preserve"> answered with a ‘Yes’ (achieved), ‘No’ (not achieved)</w:t>
      </w:r>
      <w:r w:rsidR="00855F2B" w:rsidRPr="00D443CB">
        <w:rPr>
          <w:rFonts w:ascii="Gill Sans MT" w:hAnsi="Gill Sans MT" w:cstheme="minorHAnsi"/>
          <w:color w:val="000000" w:themeColor="text1"/>
        </w:rPr>
        <w:t>,</w:t>
      </w:r>
      <w:r w:rsidRPr="00D443CB">
        <w:rPr>
          <w:rFonts w:ascii="Gill Sans MT" w:hAnsi="Gill Sans MT" w:cstheme="minorHAnsi"/>
          <w:color w:val="000000" w:themeColor="text1"/>
        </w:rPr>
        <w:t xml:space="preserve"> ‘Partial’ (partially achieved)</w:t>
      </w:r>
      <w:r w:rsidR="00855F2B" w:rsidRPr="00D443CB">
        <w:rPr>
          <w:rFonts w:ascii="Gill Sans MT" w:hAnsi="Gill Sans MT" w:cstheme="minorHAnsi"/>
          <w:color w:val="000000" w:themeColor="text1"/>
        </w:rPr>
        <w:t xml:space="preserve"> or N/A (not applicable)</w:t>
      </w:r>
      <w:r w:rsidRPr="00D443CB">
        <w:rPr>
          <w:rFonts w:ascii="Gill Sans MT" w:hAnsi="Gill Sans MT" w:cstheme="minorHAnsi"/>
          <w:color w:val="000000" w:themeColor="text1"/>
        </w:rPr>
        <w:t xml:space="preserve">. Space is provided </w:t>
      </w:r>
      <w:r w:rsidR="009608DA" w:rsidRPr="00D443CB">
        <w:rPr>
          <w:rFonts w:ascii="Gill Sans MT" w:hAnsi="Gill Sans MT" w:cstheme="minorHAnsi"/>
          <w:color w:val="000000" w:themeColor="text1"/>
        </w:rPr>
        <w:t xml:space="preserve">in the checklist </w:t>
      </w:r>
      <w:r w:rsidR="00862A9D" w:rsidRPr="00D443CB">
        <w:rPr>
          <w:rFonts w:ascii="Gill Sans MT" w:hAnsi="Gill Sans MT" w:cstheme="minorHAnsi"/>
          <w:color w:val="000000" w:themeColor="text1"/>
        </w:rPr>
        <w:t>for</w:t>
      </w:r>
      <w:r w:rsidRPr="00D443CB">
        <w:rPr>
          <w:rFonts w:ascii="Gill Sans MT" w:hAnsi="Gill Sans MT" w:cstheme="minorHAnsi"/>
          <w:color w:val="000000" w:themeColor="text1"/>
        </w:rPr>
        <w:t xml:space="preserve"> comments for the responses for each question. To aid in the assessment, a suggested approach to assessment is provided for each question. </w:t>
      </w:r>
    </w:p>
    <w:p w14:paraId="65EB6FA2" w14:textId="77777777" w:rsidR="004F44E7" w:rsidRPr="00D443CB" w:rsidRDefault="004F44E7" w:rsidP="003F0903">
      <w:pPr>
        <w:pStyle w:val="BodyText"/>
        <w:spacing w:before="5"/>
        <w:rPr>
          <w:rFonts w:ascii="Gill Sans MT" w:hAnsi="Gill Sans MT" w:cstheme="minorHAnsi"/>
          <w:color w:val="000000" w:themeColor="text1"/>
          <w:sz w:val="22"/>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7290"/>
      </w:tblGrid>
      <w:tr w:rsidR="004F44E7" w:rsidRPr="00D443CB" w14:paraId="70C61C9D" w14:textId="77777777" w:rsidTr="00DC3D0B">
        <w:tc>
          <w:tcPr>
            <w:tcW w:w="1170" w:type="dxa"/>
            <w:shd w:val="clear" w:color="auto" w:fill="auto"/>
          </w:tcPr>
          <w:p w14:paraId="14267CC3" w14:textId="77777777" w:rsidR="004F44E7" w:rsidRPr="00D443CB" w:rsidRDefault="004F44E7" w:rsidP="003F0903">
            <w:pPr>
              <w:pStyle w:val="BodyText"/>
              <w:spacing w:before="5"/>
              <w:jc w:val="center"/>
              <w:rPr>
                <w:rFonts w:ascii="Gill Sans MT" w:hAnsi="Gill Sans MT" w:cs="Calibri"/>
                <w:b/>
                <w:sz w:val="22"/>
                <w:szCs w:val="22"/>
              </w:rPr>
            </w:pPr>
            <w:r w:rsidRPr="00D443CB">
              <w:rPr>
                <w:rFonts w:ascii="Gill Sans MT" w:hAnsi="Gill Sans MT" w:cs="Calibri"/>
                <w:b/>
                <w:sz w:val="22"/>
                <w:szCs w:val="22"/>
              </w:rPr>
              <w:t>Symbol</w:t>
            </w:r>
          </w:p>
        </w:tc>
        <w:tc>
          <w:tcPr>
            <w:tcW w:w="7290" w:type="dxa"/>
            <w:shd w:val="clear" w:color="auto" w:fill="auto"/>
          </w:tcPr>
          <w:p w14:paraId="238CEF54" w14:textId="77777777" w:rsidR="004F44E7" w:rsidRPr="00D443CB" w:rsidRDefault="004F44E7" w:rsidP="003F0903">
            <w:pPr>
              <w:pStyle w:val="BodyText"/>
              <w:spacing w:before="5"/>
              <w:jc w:val="center"/>
              <w:rPr>
                <w:rFonts w:ascii="Gill Sans MT" w:hAnsi="Gill Sans MT" w:cs="Calibri"/>
                <w:b/>
                <w:sz w:val="22"/>
                <w:szCs w:val="22"/>
              </w:rPr>
            </w:pPr>
            <w:r w:rsidRPr="00D443CB">
              <w:rPr>
                <w:rFonts w:ascii="Gill Sans MT" w:hAnsi="Gill Sans MT" w:cs="Calibri"/>
                <w:b/>
                <w:sz w:val="22"/>
                <w:szCs w:val="22"/>
              </w:rPr>
              <w:t>Approach</w:t>
            </w:r>
          </w:p>
        </w:tc>
      </w:tr>
      <w:tr w:rsidR="004F44E7" w:rsidRPr="00D443CB" w14:paraId="0D918B7F" w14:textId="77777777" w:rsidTr="00DC3D0B">
        <w:tc>
          <w:tcPr>
            <w:tcW w:w="1170" w:type="dxa"/>
            <w:shd w:val="clear" w:color="auto" w:fill="auto"/>
          </w:tcPr>
          <w:p w14:paraId="7B44AE97" w14:textId="77777777" w:rsidR="004F44E7" w:rsidRPr="00D443CB" w:rsidRDefault="004F44E7" w:rsidP="003F0903">
            <w:pPr>
              <w:pStyle w:val="BodyText"/>
              <w:spacing w:before="5"/>
              <w:jc w:val="center"/>
              <w:rPr>
                <w:rFonts w:ascii="Gill Sans MT" w:hAnsi="Gill Sans MT" w:cs="Times New Roman"/>
                <w:b/>
                <w:sz w:val="24"/>
                <w:szCs w:val="24"/>
              </w:rPr>
            </w:pPr>
            <w:r w:rsidRPr="00D443CB">
              <w:rPr>
                <w:rFonts w:ascii="Gill Sans MT" w:eastAsia="Wingdings" w:hAnsi="Gill Sans MT" w:cs="Wingdings"/>
                <w:b/>
              </w:rPr>
              <w:t></w:t>
            </w:r>
          </w:p>
        </w:tc>
        <w:tc>
          <w:tcPr>
            <w:tcW w:w="7290" w:type="dxa"/>
            <w:shd w:val="clear" w:color="auto" w:fill="auto"/>
          </w:tcPr>
          <w:p w14:paraId="14EAC4EE" w14:textId="3F0E89F1" w:rsidR="004F44E7" w:rsidRPr="00D443CB" w:rsidRDefault="004F44E7" w:rsidP="003F0903">
            <w:pPr>
              <w:pStyle w:val="BodyText"/>
              <w:spacing w:before="5"/>
              <w:rPr>
                <w:rFonts w:ascii="Gill Sans MT" w:hAnsi="Gill Sans MT" w:cs="Calibri"/>
                <w:sz w:val="22"/>
                <w:szCs w:val="22"/>
              </w:rPr>
            </w:pPr>
            <w:r w:rsidRPr="00D443CB">
              <w:rPr>
                <w:rFonts w:ascii="Gill Sans MT" w:hAnsi="Gill Sans MT" w:cs="Calibri"/>
                <w:sz w:val="22"/>
                <w:szCs w:val="22"/>
              </w:rPr>
              <w:t xml:space="preserve">Review applicable documents, </w:t>
            </w:r>
            <w:r w:rsidR="006574D2" w:rsidRPr="00D443CB">
              <w:rPr>
                <w:rFonts w:ascii="Gill Sans MT" w:hAnsi="Gill Sans MT" w:cs="Calibri"/>
                <w:sz w:val="22"/>
                <w:szCs w:val="22"/>
              </w:rPr>
              <w:t>e.g.</w:t>
            </w:r>
            <w:r w:rsidRPr="00D443CB">
              <w:rPr>
                <w:rFonts w:ascii="Gill Sans MT" w:hAnsi="Gill Sans MT" w:cs="Calibri"/>
                <w:sz w:val="22"/>
                <w:szCs w:val="22"/>
              </w:rPr>
              <w:t>, policies, SOPs, guidelines, and data</w:t>
            </w:r>
          </w:p>
        </w:tc>
      </w:tr>
      <w:tr w:rsidR="004F44E7" w:rsidRPr="00D443CB" w14:paraId="4135A3DA" w14:textId="77777777" w:rsidTr="00DC3D0B">
        <w:tc>
          <w:tcPr>
            <w:tcW w:w="1170" w:type="dxa"/>
            <w:shd w:val="clear" w:color="auto" w:fill="auto"/>
          </w:tcPr>
          <w:p w14:paraId="23A140FC" w14:textId="77777777" w:rsidR="004F44E7" w:rsidRPr="00D443CB" w:rsidRDefault="004F44E7" w:rsidP="003F0903">
            <w:pPr>
              <w:pStyle w:val="BodyText"/>
              <w:spacing w:before="5"/>
              <w:jc w:val="center"/>
              <w:rPr>
                <w:rFonts w:ascii="Gill Sans MT" w:hAnsi="Gill Sans MT" w:cs="Times New Roman"/>
                <w:b/>
                <w:sz w:val="24"/>
                <w:szCs w:val="24"/>
              </w:rPr>
            </w:pPr>
            <w:r w:rsidRPr="00D443CB">
              <w:rPr>
                <w:rFonts w:ascii="Gill Sans MT" w:hAnsi="Gill Sans MT"/>
                <w:b/>
                <w:sz w:val="16"/>
              </w:rPr>
              <w:t>?</w:t>
            </w:r>
          </w:p>
        </w:tc>
        <w:tc>
          <w:tcPr>
            <w:tcW w:w="7290" w:type="dxa"/>
            <w:shd w:val="clear" w:color="auto" w:fill="auto"/>
          </w:tcPr>
          <w:p w14:paraId="7C46BFB6" w14:textId="77777777" w:rsidR="004F44E7" w:rsidRPr="00D443CB" w:rsidRDefault="004F44E7" w:rsidP="003F0903">
            <w:pPr>
              <w:pStyle w:val="BodyText"/>
              <w:spacing w:before="5"/>
              <w:rPr>
                <w:rFonts w:ascii="Gill Sans MT" w:hAnsi="Gill Sans MT" w:cs="Calibri"/>
                <w:sz w:val="22"/>
                <w:szCs w:val="22"/>
              </w:rPr>
            </w:pPr>
            <w:r w:rsidRPr="00D443CB">
              <w:rPr>
                <w:rFonts w:ascii="Gill Sans MT" w:hAnsi="Gill Sans MT" w:cs="Calibri"/>
                <w:sz w:val="22"/>
                <w:szCs w:val="22"/>
              </w:rPr>
              <w:t>Ask staff members or clients for their views or level of understanding</w:t>
            </w:r>
          </w:p>
        </w:tc>
      </w:tr>
      <w:tr w:rsidR="004F44E7" w:rsidRPr="00D443CB" w14:paraId="5AE18F2E" w14:textId="77777777" w:rsidTr="00DC3D0B">
        <w:tc>
          <w:tcPr>
            <w:tcW w:w="1170" w:type="dxa"/>
            <w:shd w:val="clear" w:color="auto" w:fill="auto"/>
          </w:tcPr>
          <w:p w14:paraId="41DBAA0D" w14:textId="77777777" w:rsidR="004F44E7" w:rsidRPr="00D443CB" w:rsidRDefault="004F44E7" w:rsidP="003F0903">
            <w:pPr>
              <w:pStyle w:val="BodyText"/>
              <w:spacing w:before="5"/>
              <w:jc w:val="center"/>
              <w:rPr>
                <w:rFonts w:ascii="Gill Sans MT" w:hAnsi="Gill Sans MT" w:cs="Times New Roman"/>
                <w:b/>
                <w:sz w:val="24"/>
                <w:szCs w:val="24"/>
              </w:rPr>
            </w:pPr>
            <w:r w:rsidRPr="00D443CB">
              <w:rPr>
                <w:rFonts w:ascii="Gill Sans MT" w:eastAsia="Wingdings" w:hAnsi="Gill Sans MT" w:cs="Wingdings"/>
                <w:b/>
                <w:sz w:val="16"/>
              </w:rPr>
              <w:t></w:t>
            </w:r>
          </w:p>
        </w:tc>
        <w:tc>
          <w:tcPr>
            <w:tcW w:w="7290" w:type="dxa"/>
            <w:shd w:val="clear" w:color="auto" w:fill="auto"/>
          </w:tcPr>
          <w:p w14:paraId="231795FB" w14:textId="77777777" w:rsidR="004F44E7" w:rsidRPr="00D443CB" w:rsidRDefault="004F44E7" w:rsidP="003F0903">
            <w:pPr>
              <w:pStyle w:val="BodyText"/>
              <w:spacing w:before="5"/>
              <w:rPr>
                <w:rFonts w:ascii="Gill Sans MT" w:hAnsi="Gill Sans MT" w:cs="Calibri"/>
                <w:sz w:val="22"/>
                <w:szCs w:val="22"/>
              </w:rPr>
            </w:pPr>
            <w:r w:rsidRPr="00D443CB">
              <w:rPr>
                <w:rFonts w:ascii="Gill Sans MT" w:hAnsi="Gill Sans MT" w:cs="Calibri"/>
                <w:sz w:val="22"/>
                <w:szCs w:val="22"/>
              </w:rPr>
              <w:t>Objective observations or conclusion</w:t>
            </w:r>
          </w:p>
        </w:tc>
      </w:tr>
    </w:tbl>
    <w:p w14:paraId="2E00A2CB" w14:textId="77777777" w:rsidR="00862A9D" w:rsidRPr="00D443CB" w:rsidRDefault="00862A9D" w:rsidP="003F0903">
      <w:pPr>
        <w:widowControl w:val="0"/>
        <w:autoSpaceDE w:val="0"/>
        <w:autoSpaceDN w:val="0"/>
        <w:adjustRightInd w:val="0"/>
        <w:spacing w:after="0" w:line="240" w:lineRule="auto"/>
        <w:jc w:val="both"/>
        <w:rPr>
          <w:rFonts w:ascii="Gill Sans MT" w:hAnsi="Gill Sans MT"/>
        </w:rPr>
      </w:pPr>
    </w:p>
    <w:p w14:paraId="5EEF4C83" w14:textId="2CBC0542" w:rsidR="004F44E7" w:rsidRPr="00D443CB" w:rsidRDefault="009E31C7">
      <w:pPr>
        <w:widowControl w:val="0"/>
        <w:autoSpaceDE w:val="0"/>
        <w:autoSpaceDN w:val="0"/>
        <w:adjustRightInd w:val="0"/>
        <w:spacing w:after="0" w:line="240" w:lineRule="auto"/>
        <w:jc w:val="both"/>
        <w:rPr>
          <w:rFonts w:ascii="Gill Sans MT" w:hAnsi="Gill Sans MT"/>
        </w:rPr>
      </w:pPr>
      <w:r w:rsidRPr="00D443CB">
        <w:rPr>
          <w:rFonts w:ascii="Gill Sans MT" w:hAnsi="Gill Sans MT"/>
        </w:rPr>
        <w:t>T</w:t>
      </w:r>
      <w:r w:rsidR="004F44E7" w:rsidRPr="00D443CB">
        <w:rPr>
          <w:rFonts w:ascii="Gill Sans MT" w:hAnsi="Gill Sans MT"/>
        </w:rPr>
        <w:t>o ensure that the assessment team receives enough detail on specific diagnostic network components (</w:t>
      </w:r>
      <w:r w:rsidR="006574D2" w:rsidRPr="00D443CB">
        <w:rPr>
          <w:rFonts w:ascii="Gill Sans MT" w:hAnsi="Gill Sans MT"/>
        </w:rPr>
        <w:t>e.g.</w:t>
      </w:r>
      <w:r w:rsidR="004F44E7" w:rsidRPr="00D443CB">
        <w:rPr>
          <w:rFonts w:ascii="Gill Sans MT" w:hAnsi="Gill Sans MT"/>
        </w:rPr>
        <w:t xml:space="preserve">, specimen referral), the </w:t>
      </w:r>
      <w:r w:rsidR="00A27124" w:rsidRPr="00D443CB">
        <w:rPr>
          <w:rFonts w:ascii="Gill Sans MT" w:hAnsi="Gill Sans MT"/>
        </w:rPr>
        <w:t>assessment</w:t>
      </w:r>
      <w:r w:rsidR="004F44E7" w:rsidRPr="00D443CB">
        <w:rPr>
          <w:rFonts w:ascii="Gill Sans MT" w:hAnsi="Gill Sans MT"/>
        </w:rPr>
        <w:t xml:space="preserve"> may include a limited number of topic-specific checklists to supplement the verification questions. </w:t>
      </w:r>
      <w:r w:rsidR="00D17E38" w:rsidRPr="00D443CB">
        <w:rPr>
          <w:rFonts w:ascii="Gill Sans MT" w:hAnsi="Gill Sans MT"/>
        </w:rPr>
        <w:t xml:space="preserve">The topic-specific checklists to include will depend on the overall objectives and scope of work of the assessment. </w:t>
      </w:r>
      <w:r w:rsidR="004F44E7" w:rsidRPr="00D443CB">
        <w:rPr>
          <w:rFonts w:ascii="Gill Sans MT" w:hAnsi="Gill Sans MT"/>
        </w:rPr>
        <w:t>See Annex</w:t>
      </w:r>
      <w:r w:rsidR="00E7261A" w:rsidRPr="00D443CB">
        <w:rPr>
          <w:rFonts w:ascii="Gill Sans MT" w:hAnsi="Gill Sans MT"/>
        </w:rPr>
        <w:t xml:space="preserve"> </w:t>
      </w:r>
      <w:r w:rsidR="00F86085" w:rsidRPr="00D443CB">
        <w:rPr>
          <w:rFonts w:ascii="Gill Sans MT" w:hAnsi="Gill Sans MT"/>
        </w:rPr>
        <w:t>7</w:t>
      </w:r>
      <w:r w:rsidR="004F44E7" w:rsidRPr="00D443CB">
        <w:rPr>
          <w:rFonts w:ascii="Gill Sans MT" w:hAnsi="Gill Sans MT"/>
        </w:rPr>
        <w:t xml:space="preserve"> for </w:t>
      </w:r>
      <w:r w:rsidR="00D17E38" w:rsidRPr="00D443CB">
        <w:rPr>
          <w:rFonts w:ascii="Gill Sans MT" w:hAnsi="Gill Sans MT"/>
        </w:rPr>
        <w:t>topic-specific</w:t>
      </w:r>
      <w:r w:rsidR="004F44E7" w:rsidRPr="00D443CB">
        <w:rPr>
          <w:rFonts w:ascii="Gill Sans MT" w:hAnsi="Gill Sans MT"/>
        </w:rPr>
        <w:t xml:space="preserve"> checklists for specimen referral, diagnostic data management, clinical-laboratory interface, </w:t>
      </w:r>
      <w:r w:rsidR="00B662A4" w:rsidRPr="00D443CB">
        <w:rPr>
          <w:rFonts w:ascii="Gill Sans MT" w:hAnsi="Gill Sans MT"/>
        </w:rPr>
        <w:t xml:space="preserve">National TB Strategic Plan, </w:t>
      </w:r>
      <w:r w:rsidR="004F44E7" w:rsidRPr="00D443CB">
        <w:rPr>
          <w:rFonts w:ascii="Gill Sans MT" w:hAnsi="Gill Sans MT"/>
        </w:rPr>
        <w:t>culture and drug susceptibility testing</w:t>
      </w:r>
      <w:r w:rsidR="002B309F" w:rsidRPr="00D443CB">
        <w:rPr>
          <w:rFonts w:ascii="Gill Sans MT" w:hAnsi="Gill Sans MT"/>
        </w:rPr>
        <w:t xml:space="preserve">, private sector, </w:t>
      </w:r>
      <w:r w:rsidR="00624FD9" w:rsidRPr="00D443CB">
        <w:rPr>
          <w:rFonts w:ascii="Gill Sans MT" w:hAnsi="Gill Sans MT"/>
        </w:rPr>
        <w:t xml:space="preserve">ancillary testing for treatment monitoring, </w:t>
      </w:r>
      <w:r w:rsidR="002B309F" w:rsidRPr="00D443CB">
        <w:rPr>
          <w:rFonts w:ascii="Gill Sans MT" w:hAnsi="Gill Sans MT"/>
        </w:rPr>
        <w:t>and chest X-ray.</w:t>
      </w:r>
      <w:r w:rsidR="0000283E" w:rsidRPr="00D443CB">
        <w:rPr>
          <w:rFonts w:ascii="Gill Sans MT" w:hAnsi="Gill Sans MT"/>
        </w:rPr>
        <w:t xml:space="preserve"> </w:t>
      </w:r>
    </w:p>
    <w:p w14:paraId="6289F05D" w14:textId="60D708D6" w:rsidR="0000283E" w:rsidRPr="00D443CB" w:rsidRDefault="0000283E">
      <w:pPr>
        <w:widowControl w:val="0"/>
        <w:autoSpaceDE w:val="0"/>
        <w:autoSpaceDN w:val="0"/>
        <w:adjustRightInd w:val="0"/>
        <w:spacing w:after="0" w:line="240" w:lineRule="auto"/>
        <w:jc w:val="both"/>
        <w:rPr>
          <w:rFonts w:ascii="Gill Sans MT" w:hAnsi="Gill Sans MT"/>
        </w:rPr>
      </w:pPr>
    </w:p>
    <w:p w14:paraId="26657762" w14:textId="7A36AE79" w:rsidR="0000283E" w:rsidRPr="00D443CB" w:rsidRDefault="0000283E">
      <w:pPr>
        <w:widowControl w:val="0"/>
        <w:autoSpaceDE w:val="0"/>
        <w:autoSpaceDN w:val="0"/>
        <w:adjustRightInd w:val="0"/>
        <w:spacing w:after="0" w:line="240" w:lineRule="auto"/>
        <w:jc w:val="both"/>
        <w:rPr>
          <w:rFonts w:ascii="Gill Sans MT" w:hAnsi="Gill Sans MT"/>
        </w:rPr>
      </w:pPr>
      <w:r w:rsidRPr="00D443CB">
        <w:rPr>
          <w:rFonts w:ascii="Gill Sans MT" w:hAnsi="Gill Sans MT"/>
        </w:rPr>
        <w:t>Checklists are available in an editable format and may be modified to meet the objectives of the assessment or to reflect the organization of TB services in the country.</w:t>
      </w:r>
    </w:p>
    <w:p w14:paraId="78662FF0" w14:textId="77777777" w:rsidR="008A7278" w:rsidRPr="00D443CB" w:rsidRDefault="008A7278">
      <w:pPr>
        <w:widowControl w:val="0"/>
        <w:autoSpaceDE w:val="0"/>
        <w:autoSpaceDN w:val="0"/>
        <w:adjustRightInd w:val="0"/>
        <w:spacing w:after="0" w:line="240" w:lineRule="auto"/>
        <w:jc w:val="both"/>
        <w:rPr>
          <w:rFonts w:ascii="Gill Sans MT" w:hAnsi="Gill Sans MT"/>
        </w:rPr>
      </w:pPr>
    </w:p>
    <w:p w14:paraId="49CEAA9D" w14:textId="3B05E326" w:rsidR="004F44E7" w:rsidRPr="00D443CB" w:rsidRDefault="008C611B" w:rsidP="008F79FE">
      <w:pPr>
        <w:spacing w:after="0" w:line="240" w:lineRule="auto"/>
        <w:jc w:val="both"/>
        <w:rPr>
          <w:rFonts w:ascii="Gill Sans MT" w:hAnsi="Gill Sans MT"/>
        </w:rPr>
      </w:pPr>
      <w:r w:rsidRPr="00D443CB">
        <w:rPr>
          <w:rFonts w:ascii="Gill Sans MT" w:hAnsi="Gill Sans MT"/>
        </w:rPr>
        <w:t xml:space="preserve">In addition to verification visits, </w:t>
      </w:r>
      <w:r w:rsidR="004F44E7" w:rsidRPr="00D443CB">
        <w:rPr>
          <w:rFonts w:ascii="Gill Sans MT" w:hAnsi="Gill Sans MT"/>
        </w:rPr>
        <w:t>the assessment team</w:t>
      </w:r>
      <w:r w:rsidRPr="00D443CB">
        <w:rPr>
          <w:rFonts w:ascii="Gill Sans MT" w:hAnsi="Gill Sans MT"/>
        </w:rPr>
        <w:t xml:space="preserve"> </w:t>
      </w:r>
      <w:r w:rsidR="00B10A16" w:rsidRPr="00D443CB">
        <w:rPr>
          <w:rFonts w:ascii="Gill Sans MT" w:hAnsi="Gill Sans MT"/>
        </w:rPr>
        <w:t>should</w:t>
      </w:r>
      <w:r w:rsidR="00983AA3" w:rsidRPr="00D443CB">
        <w:rPr>
          <w:rFonts w:ascii="Gill Sans MT" w:hAnsi="Gill Sans MT"/>
        </w:rPr>
        <w:t xml:space="preserve">, as appropriate, </w:t>
      </w:r>
      <w:r w:rsidR="004F44E7" w:rsidRPr="00D443CB">
        <w:rPr>
          <w:rFonts w:ascii="Gill Sans MT" w:hAnsi="Gill Sans MT"/>
        </w:rPr>
        <w:t>interview national level stakeholders and agencies (</w:t>
      </w:r>
      <w:r w:rsidR="006574D2" w:rsidRPr="00D443CB">
        <w:rPr>
          <w:rFonts w:ascii="Gill Sans MT" w:hAnsi="Gill Sans MT"/>
        </w:rPr>
        <w:t>e.g.</w:t>
      </w:r>
      <w:r w:rsidR="004F44E7" w:rsidRPr="00D443CB">
        <w:rPr>
          <w:rFonts w:ascii="Gill Sans MT" w:hAnsi="Gill Sans MT"/>
        </w:rPr>
        <w:t>, technical partners</w:t>
      </w:r>
      <w:r w:rsidR="00475885" w:rsidRPr="00D443CB">
        <w:rPr>
          <w:rFonts w:ascii="Gill Sans MT" w:hAnsi="Gill Sans MT"/>
        </w:rPr>
        <w:t xml:space="preserve">, clinicians, </w:t>
      </w:r>
      <w:r w:rsidR="00A27124" w:rsidRPr="00D443CB">
        <w:rPr>
          <w:rFonts w:ascii="Gill Sans MT" w:hAnsi="Gill Sans MT"/>
        </w:rPr>
        <w:t xml:space="preserve">patient advocates, </w:t>
      </w:r>
      <w:r w:rsidR="00475885" w:rsidRPr="00D443CB">
        <w:rPr>
          <w:rFonts w:ascii="Gill Sans MT" w:hAnsi="Gill Sans MT"/>
        </w:rPr>
        <w:t>program committee</w:t>
      </w:r>
      <w:r w:rsidR="004F44E7" w:rsidRPr="00D443CB">
        <w:rPr>
          <w:rFonts w:ascii="Gill Sans MT" w:hAnsi="Gill Sans MT"/>
        </w:rPr>
        <w:t xml:space="preserve"> </w:t>
      </w:r>
      <w:r w:rsidR="005253E2" w:rsidRPr="00D443CB">
        <w:rPr>
          <w:rFonts w:ascii="Gill Sans MT" w:hAnsi="Gill Sans MT"/>
        </w:rPr>
        <w:t>and private</w:t>
      </w:r>
      <w:r w:rsidRPr="00D443CB">
        <w:rPr>
          <w:rFonts w:ascii="Gill Sans MT" w:hAnsi="Gill Sans MT"/>
        </w:rPr>
        <w:t xml:space="preserve"> sector </w:t>
      </w:r>
      <w:r w:rsidR="008418FF" w:rsidRPr="00D443CB">
        <w:rPr>
          <w:rFonts w:ascii="Gill Sans MT" w:hAnsi="Gill Sans MT"/>
        </w:rPr>
        <w:t>representatives</w:t>
      </w:r>
      <w:r w:rsidR="004F44E7" w:rsidRPr="00D443CB">
        <w:rPr>
          <w:rFonts w:ascii="Gill Sans MT" w:hAnsi="Gill Sans MT"/>
        </w:rPr>
        <w:t xml:space="preserve">) and collect data and information according to the main assessment tool and </w:t>
      </w:r>
      <w:r w:rsidR="00B10A16" w:rsidRPr="00D443CB">
        <w:rPr>
          <w:rFonts w:ascii="Gill Sans MT" w:hAnsi="Gill Sans MT"/>
        </w:rPr>
        <w:t xml:space="preserve">topic-specific </w:t>
      </w:r>
      <w:r w:rsidR="004F44E7" w:rsidRPr="00D443CB">
        <w:rPr>
          <w:rFonts w:ascii="Gill Sans MT" w:hAnsi="Gill Sans MT"/>
        </w:rPr>
        <w:t>checklists.</w:t>
      </w:r>
      <w:r w:rsidR="00B10A16" w:rsidRPr="00D443CB">
        <w:rPr>
          <w:rFonts w:ascii="Gill Sans MT" w:hAnsi="Gill Sans MT"/>
        </w:rPr>
        <w:t xml:space="preserve"> These interviews should occur after teams return from field visits and are helpful to clarify </w:t>
      </w:r>
      <w:r w:rsidR="005672D3" w:rsidRPr="00D443CB">
        <w:rPr>
          <w:rFonts w:ascii="Gill Sans MT" w:hAnsi="Gill Sans MT"/>
        </w:rPr>
        <w:t>information gathered from facilities and through laboratory and program staff.</w:t>
      </w:r>
      <w:r w:rsidR="00B10A16" w:rsidRPr="00D443CB">
        <w:rPr>
          <w:rFonts w:ascii="Gill Sans MT" w:hAnsi="Gill Sans MT"/>
        </w:rPr>
        <w:t xml:space="preserve"> </w:t>
      </w:r>
    </w:p>
    <w:p w14:paraId="374E9491" w14:textId="5CA65285" w:rsidR="00322526" w:rsidRPr="00D443CB" w:rsidRDefault="00322526" w:rsidP="008F79FE">
      <w:pPr>
        <w:spacing w:after="0" w:line="240" w:lineRule="auto"/>
        <w:jc w:val="both"/>
        <w:rPr>
          <w:rFonts w:ascii="Gill Sans MT" w:hAnsi="Gill Sans MT"/>
        </w:rPr>
      </w:pPr>
    </w:p>
    <w:p w14:paraId="6730DE49" w14:textId="2AF99245" w:rsidR="00322526" w:rsidRPr="00D443CB" w:rsidRDefault="00322526" w:rsidP="008F79FE">
      <w:pPr>
        <w:spacing w:after="0" w:line="240" w:lineRule="auto"/>
        <w:jc w:val="both"/>
        <w:rPr>
          <w:rFonts w:ascii="Gill Sans MT" w:hAnsi="Gill Sans MT"/>
        </w:rPr>
      </w:pPr>
      <w:r w:rsidRPr="00D443CB">
        <w:rPr>
          <w:rFonts w:ascii="Gill Sans MT" w:hAnsi="Gill Sans MT"/>
        </w:rPr>
        <w:t xml:space="preserve">Following the review and the verification visits, the external assessment team will compile findings and determine the capability stage for each question in the </w:t>
      </w:r>
      <w:r w:rsidR="005805FA" w:rsidRPr="00D443CB">
        <w:rPr>
          <w:rFonts w:ascii="Gill Sans MT" w:hAnsi="Gill Sans MT"/>
        </w:rPr>
        <w:t>TB-Net Tool</w:t>
      </w:r>
      <w:r w:rsidRPr="00D443CB">
        <w:rPr>
          <w:rFonts w:ascii="Gill Sans MT" w:hAnsi="Gill Sans MT"/>
        </w:rPr>
        <w:t>. The assignment of a stage to a question is intended to represent a consensus of the external assessment team, as opposed to the opinion of a single individual.</w:t>
      </w:r>
    </w:p>
    <w:p w14:paraId="4B74A4F4" w14:textId="3E45379E" w:rsidR="008A7278" w:rsidRPr="00D443CB" w:rsidRDefault="008A7278" w:rsidP="008F79FE">
      <w:pPr>
        <w:spacing w:after="0" w:line="240" w:lineRule="auto"/>
        <w:jc w:val="both"/>
        <w:rPr>
          <w:rFonts w:ascii="Gill Sans MT" w:hAnsi="Gill Sans MT"/>
          <w:b/>
        </w:rPr>
      </w:pPr>
    </w:p>
    <w:p w14:paraId="1E54F7CE" w14:textId="3D74F2AE" w:rsidR="00322526" w:rsidRPr="00D443CB" w:rsidRDefault="00322526" w:rsidP="00322526">
      <w:pPr>
        <w:pStyle w:val="Heading2"/>
        <w:spacing w:before="0" w:after="120" w:line="240" w:lineRule="auto"/>
        <w:rPr>
          <w:rFonts w:ascii="Gill Sans MT" w:hAnsi="Gill Sans MT" w:cstheme="minorHAnsi"/>
          <w:sz w:val="24"/>
        </w:rPr>
      </w:pPr>
      <w:bookmarkStart w:id="28" w:name="_Toc37317826"/>
      <w:r w:rsidRPr="00D443CB">
        <w:rPr>
          <w:rFonts w:ascii="Gill Sans MT" w:hAnsi="Gill Sans MT" w:cstheme="minorHAnsi"/>
          <w:sz w:val="24"/>
        </w:rPr>
        <w:t>4. Review of overall findings and develop</w:t>
      </w:r>
      <w:r w:rsidR="004550DF" w:rsidRPr="00D443CB">
        <w:rPr>
          <w:rFonts w:ascii="Gill Sans MT" w:hAnsi="Gill Sans MT" w:cstheme="minorHAnsi"/>
          <w:sz w:val="24"/>
        </w:rPr>
        <w:t>ment of priority interventions</w:t>
      </w:r>
      <w:bookmarkEnd w:id="28"/>
      <w:r w:rsidRPr="00D443CB">
        <w:rPr>
          <w:rFonts w:ascii="Gill Sans MT" w:hAnsi="Gill Sans MT" w:cstheme="minorHAnsi"/>
          <w:sz w:val="24"/>
        </w:rPr>
        <w:t xml:space="preserve"> </w:t>
      </w:r>
    </w:p>
    <w:p w14:paraId="5AAC83AA" w14:textId="684DD967" w:rsidR="00AD1DCD" w:rsidRPr="00D443CB" w:rsidRDefault="00F47414" w:rsidP="588258AF">
      <w:pPr>
        <w:spacing w:after="0" w:line="240" w:lineRule="auto"/>
        <w:jc w:val="both"/>
        <w:rPr>
          <w:rFonts w:ascii="Gill Sans MT" w:hAnsi="Gill Sans MT"/>
        </w:rPr>
      </w:pPr>
      <w:r w:rsidRPr="00D443CB">
        <w:rPr>
          <w:rFonts w:ascii="Gill Sans MT" w:hAnsi="Gill Sans MT"/>
        </w:rPr>
        <w:t>T</w:t>
      </w:r>
      <w:r w:rsidR="005253E2" w:rsidRPr="00D443CB">
        <w:rPr>
          <w:rFonts w:ascii="Gill Sans MT" w:hAnsi="Gill Sans MT"/>
        </w:rPr>
        <w:t>he</w:t>
      </w:r>
      <w:r w:rsidR="004550DF" w:rsidRPr="00D443CB">
        <w:rPr>
          <w:rFonts w:ascii="Gill Sans MT" w:hAnsi="Gill Sans MT"/>
        </w:rPr>
        <w:t xml:space="preserve"> external</w:t>
      </w:r>
      <w:r w:rsidR="005253E2" w:rsidRPr="00D443CB">
        <w:rPr>
          <w:rFonts w:ascii="Gill Sans MT" w:hAnsi="Gill Sans MT"/>
        </w:rPr>
        <w:t xml:space="preserve"> assessment team </w:t>
      </w:r>
      <w:r w:rsidR="005672D3" w:rsidRPr="00D443CB">
        <w:rPr>
          <w:rFonts w:ascii="Gill Sans MT" w:hAnsi="Gill Sans MT"/>
        </w:rPr>
        <w:t xml:space="preserve">will </w:t>
      </w:r>
      <w:r w:rsidR="005253E2" w:rsidRPr="00D443CB">
        <w:rPr>
          <w:rFonts w:ascii="Gill Sans MT" w:hAnsi="Gill Sans MT"/>
        </w:rPr>
        <w:t xml:space="preserve">develop </w:t>
      </w:r>
      <w:r w:rsidR="004F44E7" w:rsidRPr="00D443CB">
        <w:rPr>
          <w:rFonts w:ascii="Gill Sans MT" w:hAnsi="Gill Sans MT"/>
        </w:rPr>
        <w:t>a set of key findings</w:t>
      </w:r>
      <w:r w:rsidR="00212405" w:rsidRPr="00D443CB">
        <w:rPr>
          <w:rFonts w:ascii="Gill Sans MT" w:hAnsi="Gill Sans MT"/>
        </w:rPr>
        <w:t>, recommendations</w:t>
      </w:r>
      <w:r w:rsidR="004F44E7" w:rsidRPr="00D443CB">
        <w:rPr>
          <w:rFonts w:ascii="Gill Sans MT" w:hAnsi="Gill Sans MT"/>
        </w:rPr>
        <w:t xml:space="preserve"> and priority interventions. </w:t>
      </w:r>
      <w:r w:rsidR="00322526" w:rsidRPr="00D443CB">
        <w:rPr>
          <w:rFonts w:ascii="Gill Sans MT" w:hAnsi="Gill Sans MT"/>
        </w:rPr>
        <w:t xml:space="preserve">The review should identify challenges that prevent the overall TB diagnostic network from performing efficiently and effectively and should propose evidence-based interventions to improve the overall ability of the TB diagnostic network to meet the goals and targets of the NSP. </w:t>
      </w:r>
      <w:r w:rsidR="004F44E7" w:rsidRPr="00D443CB">
        <w:rPr>
          <w:rFonts w:ascii="Gill Sans MT" w:hAnsi="Gill Sans MT"/>
        </w:rPr>
        <w:t>A mixed</w:t>
      </w:r>
      <w:r w:rsidR="00396891" w:rsidRPr="00D443CB">
        <w:rPr>
          <w:rFonts w:ascii="Gill Sans MT" w:hAnsi="Gill Sans MT"/>
        </w:rPr>
        <w:t>-</w:t>
      </w:r>
      <w:r w:rsidR="004F44E7" w:rsidRPr="00D443CB">
        <w:rPr>
          <w:rFonts w:ascii="Gill Sans MT" w:hAnsi="Gill Sans MT"/>
        </w:rPr>
        <w:t xml:space="preserve">methods approach </w:t>
      </w:r>
      <w:r w:rsidR="005253E2" w:rsidRPr="00D443CB">
        <w:rPr>
          <w:rFonts w:ascii="Gill Sans MT" w:hAnsi="Gill Sans MT"/>
        </w:rPr>
        <w:t xml:space="preserve">usually is used which includes both </w:t>
      </w:r>
      <w:r w:rsidR="004F44E7" w:rsidRPr="00D443CB">
        <w:rPr>
          <w:rFonts w:ascii="Gill Sans MT" w:hAnsi="Gill Sans MT"/>
        </w:rPr>
        <w:lastRenderedPageBreak/>
        <w:t xml:space="preserve">qualitative and quantitative data. Findings from the </w:t>
      </w:r>
      <w:r w:rsidR="005253E2" w:rsidRPr="00D443CB">
        <w:rPr>
          <w:rFonts w:ascii="Gill Sans MT" w:hAnsi="Gill Sans MT"/>
        </w:rPr>
        <w:t>site</w:t>
      </w:r>
      <w:r w:rsidR="004F44E7" w:rsidRPr="00D443CB">
        <w:rPr>
          <w:rFonts w:ascii="Gill Sans MT" w:hAnsi="Gill Sans MT"/>
        </w:rPr>
        <w:t xml:space="preserve"> level and national level assessments</w:t>
      </w:r>
      <w:r w:rsidR="00212405" w:rsidRPr="00D443CB">
        <w:rPr>
          <w:rFonts w:ascii="Gill Sans MT" w:hAnsi="Gill Sans MT"/>
        </w:rPr>
        <w:t xml:space="preserve">, stakeholder interviews and supplemental checklists </w:t>
      </w:r>
      <w:r w:rsidR="005253E2" w:rsidRPr="00D443CB">
        <w:rPr>
          <w:rFonts w:ascii="Gill Sans MT" w:hAnsi="Gill Sans MT"/>
        </w:rPr>
        <w:t xml:space="preserve">should </w:t>
      </w:r>
      <w:r w:rsidR="00212405" w:rsidRPr="00D443CB">
        <w:rPr>
          <w:rFonts w:ascii="Gill Sans MT" w:hAnsi="Gill Sans MT"/>
        </w:rPr>
        <w:t>be used to i</w:t>
      </w:r>
      <w:r w:rsidR="004F44E7" w:rsidRPr="00D443CB">
        <w:rPr>
          <w:rFonts w:ascii="Gill Sans MT" w:hAnsi="Gill Sans MT"/>
        </w:rPr>
        <w:t>nform the team’s final findings and recommendations.</w:t>
      </w:r>
      <w:r w:rsidR="00B06516" w:rsidRPr="00D443CB">
        <w:rPr>
          <w:rFonts w:ascii="Gill Sans MT" w:hAnsi="Gill Sans MT"/>
        </w:rPr>
        <w:t xml:space="preserve"> </w:t>
      </w:r>
      <w:r w:rsidR="00AD1DCD" w:rsidRPr="00D443CB">
        <w:rPr>
          <w:rFonts w:ascii="Gill Sans MT" w:hAnsi="Gill Sans MT"/>
        </w:rPr>
        <w:t>On the final day of the in-country visit, the assessment team should meet with the in-country team, MoH</w:t>
      </w:r>
      <w:r w:rsidR="00F725AC" w:rsidRPr="00D443CB">
        <w:rPr>
          <w:rFonts w:ascii="Gill Sans MT" w:hAnsi="Gill Sans MT"/>
        </w:rPr>
        <w:t>, NTP</w:t>
      </w:r>
      <w:r w:rsidR="00AD1DCD" w:rsidRPr="00D443CB">
        <w:rPr>
          <w:rFonts w:ascii="Gill Sans MT" w:hAnsi="Gill Sans MT"/>
        </w:rPr>
        <w:t xml:space="preserve"> and NT</w:t>
      </w:r>
      <w:r w:rsidR="00F725AC" w:rsidRPr="00D443CB">
        <w:rPr>
          <w:rFonts w:ascii="Gill Sans MT" w:hAnsi="Gill Sans MT"/>
        </w:rPr>
        <w:t>RL</w:t>
      </w:r>
      <w:r w:rsidR="00AD1DCD" w:rsidRPr="00D443CB">
        <w:rPr>
          <w:rFonts w:ascii="Gill Sans MT" w:hAnsi="Gill Sans MT"/>
        </w:rPr>
        <w:t xml:space="preserve"> and provide a verbal debrief including highlights of findings and an overview of recommendations (Annex: Template for </w:t>
      </w:r>
      <w:r w:rsidR="00834A2E" w:rsidRPr="00D443CB">
        <w:rPr>
          <w:rFonts w:ascii="Gill Sans MT" w:hAnsi="Gill Sans MT"/>
        </w:rPr>
        <w:t>Debriefing</w:t>
      </w:r>
      <w:r w:rsidR="00AD1DCD" w:rsidRPr="00D443CB">
        <w:rPr>
          <w:rFonts w:ascii="Gill Sans MT" w:hAnsi="Gill Sans MT"/>
        </w:rPr>
        <w:t>).</w:t>
      </w:r>
    </w:p>
    <w:p w14:paraId="025343F8" w14:textId="4F632476" w:rsidR="00AD1DCD" w:rsidRPr="00D443CB" w:rsidRDefault="00AD1DCD">
      <w:pPr>
        <w:spacing w:after="0" w:line="240" w:lineRule="auto"/>
        <w:jc w:val="both"/>
        <w:rPr>
          <w:rFonts w:ascii="Gill Sans MT" w:hAnsi="Gill Sans MT"/>
        </w:rPr>
      </w:pPr>
    </w:p>
    <w:p w14:paraId="4EE06F27" w14:textId="1BF4AF4E" w:rsidR="00AD1DCD" w:rsidRPr="00D443CB" w:rsidRDefault="00AD1DCD" w:rsidP="008F79FE">
      <w:pPr>
        <w:spacing w:after="0" w:line="240" w:lineRule="auto"/>
        <w:jc w:val="both"/>
        <w:rPr>
          <w:rFonts w:ascii="Gill Sans MT" w:hAnsi="Gill Sans MT"/>
        </w:rPr>
      </w:pPr>
      <w:r w:rsidRPr="00D443CB">
        <w:rPr>
          <w:rFonts w:ascii="Gill Sans MT" w:hAnsi="Gill Sans MT"/>
        </w:rPr>
        <w:t xml:space="preserve">The external assessment team </w:t>
      </w:r>
      <w:r w:rsidR="00F725AC" w:rsidRPr="00D443CB">
        <w:rPr>
          <w:rFonts w:ascii="Gill Sans MT" w:hAnsi="Gill Sans MT"/>
        </w:rPr>
        <w:t xml:space="preserve">shall </w:t>
      </w:r>
      <w:r w:rsidRPr="00D443CB">
        <w:rPr>
          <w:rFonts w:ascii="Gill Sans MT" w:hAnsi="Gill Sans MT"/>
        </w:rPr>
        <w:t>prepare a report</w:t>
      </w:r>
      <w:r w:rsidR="00F725AC" w:rsidRPr="00D443CB">
        <w:rPr>
          <w:rFonts w:ascii="Gill Sans MT" w:hAnsi="Gill Sans MT"/>
        </w:rPr>
        <w:t xml:space="preserve"> of the assessment (</w:t>
      </w:r>
      <w:r w:rsidR="00F220AC" w:rsidRPr="00D443CB">
        <w:rPr>
          <w:rFonts w:ascii="Gill Sans MT" w:hAnsi="Gill Sans MT"/>
        </w:rPr>
        <w:t>a template is available</w:t>
      </w:r>
      <w:r w:rsidR="00F725AC" w:rsidRPr="00D443CB">
        <w:rPr>
          <w:rFonts w:ascii="Gill Sans MT" w:hAnsi="Gill Sans MT"/>
        </w:rPr>
        <w:t xml:space="preserve">) and submit it and </w:t>
      </w:r>
      <w:r w:rsidRPr="00D443CB">
        <w:rPr>
          <w:rFonts w:ascii="Gill Sans MT" w:hAnsi="Gill Sans MT"/>
        </w:rPr>
        <w:t>relevant documents</w:t>
      </w:r>
      <w:r w:rsidR="00F725AC" w:rsidRPr="00D443CB">
        <w:rPr>
          <w:rFonts w:ascii="Gill Sans MT" w:hAnsi="Gill Sans MT"/>
        </w:rPr>
        <w:t xml:space="preserve"> to the MoH, NTP and NTRL. </w:t>
      </w:r>
    </w:p>
    <w:p w14:paraId="53179CAD" w14:textId="77777777" w:rsidR="004550DF" w:rsidRPr="00D443CB" w:rsidRDefault="004550DF" w:rsidP="008F79FE">
      <w:pPr>
        <w:spacing w:after="0" w:line="240" w:lineRule="auto"/>
        <w:jc w:val="both"/>
        <w:rPr>
          <w:rFonts w:ascii="Gill Sans MT" w:hAnsi="Gill Sans MT"/>
        </w:rPr>
      </w:pPr>
    </w:p>
    <w:p w14:paraId="0A08C95D" w14:textId="4330C02C" w:rsidR="004550DF" w:rsidRPr="00D443CB" w:rsidRDefault="004550DF" w:rsidP="008F79FE">
      <w:pPr>
        <w:spacing w:after="0" w:line="240" w:lineRule="auto"/>
        <w:jc w:val="both"/>
        <w:rPr>
          <w:rFonts w:ascii="Gill Sans MT" w:hAnsi="Gill Sans MT"/>
        </w:rPr>
      </w:pPr>
      <w:r w:rsidRPr="00D443CB">
        <w:rPr>
          <w:rFonts w:ascii="Gill Sans MT" w:hAnsi="Gill Sans MT"/>
        </w:rPr>
        <w:t>A critical next step is for the TB program to review the external assessment team’s findings and recommendations and empower a national Laboratory Technical Work group or an ad hoc workgroup to address the findings and recommendations and develop a costed workplan with clearly defined and prioritized activities, responsibilities, deliverables and timeline.</w:t>
      </w:r>
    </w:p>
    <w:p w14:paraId="52564A73" w14:textId="77777777" w:rsidR="008A7278" w:rsidRPr="00D443CB" w:rsidRDefault="008A7278" w:rsidP="003F0903">
      <w:pPr>
        <w:spacing w:after="0" w:line="240" w:lineRule="auto"/>
        <w:rPr>
          <w:rFonts w:ascii="Gill Sans MT" w:hAnsi="Gill Sans MT"/>
        </w:rPr>
      </w:pPr>
    </w:p>
    <w:p w14:paraId="087AE218" w14:textId="5E56ED9C" w:rsidR="00FF1935" w:rsidRPr="00D443CB" w:rsidRDefault="00524D28" w:rsidP="00FC763C">
      <w:pPr>
        <w:pStyle w:val="ListParagraph"/>
        <w:widowControl w:val="0"/>
        <w:numPr>
          <w:ilvl w:val="0"/>
          <w:numId w:val="3"/>
        </w:numPr>
        <w:tabs>
          <w:tab w:val="left" w:pos="720"/>
          <w:tab w:val="left" w:pos="1440"/>
        </w:tabs>
        <w:autoSpaceDE w:val="0"/>
        <w:autoSpaceDN w:val="0"/>
        <w:adjustRightInd w:val="0"/>
        <w:spacing w:line="240" w:lineRule="auto"/>
        <w:ind w:left="360"/>
        <w:outlineLvl w:val="0"/>
        <w:rPr>
          <w:rFonts w:ascii="Gill Sans MT" w:hAnsi="Gill Sans MT" w:cstheme="minorHAnsi"/>
          <w:sz w:val="28"/>
          <w:szCs w:val="24"/>
        </w:rPr>
      </w:pPr>
      <w:bookmarkStart w:id="29" w:name="_Toc37317827"/>
      <w:r w:rsidRPr="00D443CB">
        <w:rPr>
          <w:rFonts w:ascii="Gill Sans MT" w:hAnsi="Gill Sans MT" w:cstheme="minorHAnsi"/>
          <w:sz w:val="28"/>
          <w:szCs w:val="24"/>
        </w:rPr>
        <w:t>Organizing and conducting an a</w:t>
      </w:r>
      <w:r w:rsidR="00FF1935" w:rsidRPr="00D443CB">
        <w:rPr>
          <w:rFonts w:ascii="Gill Sans MT" w:hAnsi="Gill Sans MT" w:cstheme="minorHAnsi"/>
          <w:sz w:val="28"/>
          <w:szCs w:val="24"/>
        </w:rPr>
        <w:t>ssessment</w:t>
      </w:r>
      <w:bookmarkEnd w:id="29"/>
    </w:p>
    <w:p w14:paraId="68A07283" w14:textId="5EDDFD9C" w:rsidR="001619E7" w:rsidRPr="00D443CB" w:rsidRDefault="001619E7" w:rsidP="008F79FE">
      <w:pPr>
        <w:jc w:val="both"/>
        <w:rPr>
          <w:rFonts w:ascii="Gill Sans MT" w:hAnsi="Gill Sans MT" w:cs="Calibri"/>
          <w:bCs/>
          <w:szCs w:val="24"/>
        </w:rPr>
      </w:pPr>
      <w:r w:rsidRPr="00D443CB">
        <w:rPr>
          <w:rFonts w:ascii="Gill Sans MT" w:hAnsi="Gill Sans MT" w:cs="Calibri"/>
          <w:bCs/>
          <w:szCs w:val="24"/>
        </w:rPr>
        <w:t>A timeline with key activities and a budget template are presented in Annex</w:t>
      </w:r>
      <w:r w:rsidR="001E0F00" w:rsidRPr="00D443CB">
        <w:rPr>
          <w:rFonts w:ascii="Gill Sans MT" w:hAnsi="Gill Sans MT" w:cs="Calibri"/>
          <w:bCs/>
          <w:szCs w:val="24"/>
        </w:rPr>
        <w:t xml:space="preserve">es </w:t>
      </w:r>
      <w:r w:rsidR="00F86085" w:rsidRPr="00D443CB">
        <w:rPr>
          <w:rFonts w:ascii="Gill Sans MT" w:hAnsi="Gill Sans MT" w:cs="Calibri"/>
          <w:bCs/>
          <w:szCs w:val="24"/>
        </w:rPr>
        <w:t>8</w:t>
      </w:r>
      <w:r w:rsidR="001E0F00" w:rsidRPr="00D443CB">
        <w:rPr>
          <w:rFonts w:ascii="Gill Sans MT" w:hAnsi="Gill Sans MT" w:cs="Calibri"/>
          <w:bCs/>
          <w:szCs w:val="24"/>
        </w:rPr>
        <w:t xml:space="preserve"> and </w:t>
      </w:r>
      <w:r w:rsidR="00F86085" w:rsidRPr="00D443CB">
        <w:rPr>
          <w:rFonts w:ascii="Gill Sans MT" w:hAnsi="Gill Sans MT" w:cs="Calibri"/>
          <w:bCs/>
          <w:szCs w:val="24"/>
        </w:rPr>
        <w:t>9</w:t>
      </w:r>
      <w:r w:rsidRPr="00D443CB">
        <w:rPr>
          <w:rFonts w:ascii="Gill Sans MT" w:hAnsi="Gill Sans MT" w:cs="Calibri"/>
          <w:bCs/>
          <w:szCs w:val="24"/>
        </w:rPr>
        <w:t>.</w:t>
      </w:r>
    </w:p>
    <w:p w14:paraId="0337337E" w14:textId="1BAD764F" w:rsidR="00FF1935" w:rsidRPr="00D443CB" w:rsidRDefault="00FF1935" w:rsidP="003F0903">
      <w:pPr>
        <w:pStyle w:val="Heading2"/>
        <w:spacing w:line="240" w:lineRule="auto"/>
        <w:rPr>
          <w:rFonts w:ascii="Gill Sans MT" w:hAnsi="Gill Sans MT" w:cs="Calibri"/>
          <w:sz w:val="24"/>
          <w:szCs w:val="24"/>
        </w:rPr>
      </w:pPr>
      <w:bookmarkStart w:id="30" w:name="_Toc37317828"/>
      <w:r w:rsidRPr="00D443CB">
        <w:rPr>
          <w:rFonts w:ascii="Gill Sans MT" w:hAnsi="Gill Sans MT" w:cs="Calibri"/>
          <w:bCs/>
          <w:sz w:val="24"/>
          <w:szCs w:val="24"/>
        </w:rPr>
        <w:t xml:space="preserve">Step 1: </w:t>
      </w:r>
      <w:r w:rsidR="002F05B9" w:rsidRPr="00D443CB">
        <w:rPr>
          <w:rFonts w:ascii="Gill Sans MT" w:hAnsi="Gill Sans MT" w:cs="Calibri"/>
          <w:bCs/>
          <w:sz w:val="24"/>
          <w:szCs w:val="24"/>
        </w:rPr>
        <w:t>Pre-visit activities</w:t>
      </w:r>
      <w:bookmarkEnd w:id="30"/>
    </w:p>
    <w:p w14:paraId="524ADEA1" w14:textId="20E3DE7F" w:rsidR="00D2078E" w:rsidRPr="00D443CB" w:rsidRDefault="00D2078E" w:rsidP="00D2078E">
      <w:pPr>
        <w:widowControl w:val="0"/>
        <w:autoSpaceDE w:val="0"/>
        <w:autoSpaceDN w:val="0"/>
        <w:adjustRightInd w:val="0"/>
        <w:spacing w:after="0" w:line="240" w:lineRule="auto"/>
        <w:rPr>
          <w:rFonts w:ascii="Gill Sans MT" w:hAnsi="Gill Sans MT" w:cstheme="minorHAnsi"/>
        </w:rPr>
      </w:pPr>
      <w:r w:rsidRPr="00D443CB">
        <w:rPr>
          <w:rFonts w:ascii="Gill Sans MT" w:hAnsi="Gill Sans MT" w:cs="Calibri"/>
          <w:i/>
        </w:rPr>
        <w:t>Define the scope of work</w:t>
      </w:r>
      <w:r w:rsidR="00874B93" w:rsidRPr="00D443CB">
        <w:rPr>
          <w:rFonts w:ascii="Gill Sans MT" w:hAnsi="Gill Sans MT" w:cs="Calibri"/>
          <w:i/>
        </w:rPr>
        <w:t>,</w:t>
      </w:r>
      <w:r w:rsidRPr="00D443CB">
        <w:rPr>
          <w:rFonts w:ascii="Gill Sans MT" w:hAnsi="Gill Sans MT" w:cs="Calibri"/>
          <w:i/>
        </w:rPr>
        <w:t xml:space="preserve"> assemble the assessment team</w:t>
      </w:r>
      <w:r w:rsidR="00874B93" w:rsidRPr="00D443CB">
        <w:rPr>
          <w:rFonts w:ascii="Gill Sans MT" w:hAnsi="Gill Sans MT" w:cs="Calibri"/>
          <w:i/>
        </w:rPr>
        <w:t>, and identify focal persons</w:t>
      </w:r>
    </w:p>
    <w:p w14:paraId="4EF4BD2D" w14:textId="3854B133" w:rsidR="00212658" w:rsidRPr="00D443CB" w:rsidRDefault="00212658" w:rsidP="00FC763C">
      <w:pPr>
        <w:pStyle w:val="ListParagraph"/>
        <w:widowControl w:val="0"/>
        <w:numPr>
          <w:ilvl w:val="0"/>
          <w:numId w:val="26"/>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O</w:t>
      </w:r>
      <w:r w:rsidR="00C15CF8" w:rsidRPr="00D443CB">
        <w:rPr>
          <w:rFonts w:ascii="Gill Sans MT" w:hAnsi="Gill Sans MT" w:cstheme="minorHAnsi"/>
        </w:rPr>
        <w:t>nce a decision is made to conduct a network assessment</w:t>
      </w:r>
      <w:r w:rsidR="00970A93" w:rsidRPr="00D443CB">
        <w:rPr>
          <w:rFonts w:ascii="Gill Sans MT" w:hAnsi="Gill Sans MT" w:cstheme="minorHAnsi"/>
        </w:rPr>
        <w:t xml:space="preserve"> using the TB-Net Tool</w:t>
      </w:r>
      <w:r w:rsidR="00C15CF8" w:rsidRPr="00D443CB">
        <w:rPr>
          <w:rFonts w:ascii="Gill Sans MT" w:hAnsi="Gill Sans MT" w:cstheme="minorHAnsi"/>
        </w:rPr>
        <w:t xml:space="preserve">, the </w:t>
      </w:r>
      <w:r w:rsidR="00E27C49" w:rsidRPr="00D443CB">
        <w:rPr>
          <w:rFonts w:ascii="Gill Sans MT" w:hAnsi="Gill Sans MT" w:cstheme="minorHAnsi"/>
        </w:rPr>
        <w:t>MoH</w:t>
      </w:r>
      <w:r w:rsidR="003F629B" w:rsidRPr="00D443CB">
        <w:rPr>
          <w:rFonts w:ascii="Gill Sans MT" w:hAnsi="Gill Sans MT" w:cstheme="minorHAnsi"/>
        </w:rPr>
        <w:t xml:space="preserve"> or </w:t>
      </w:r>
      <w:r w:rsidR="00396891" w:rsidRPr="00D443CB">
        <w:rPr>
          <w:rFonts w:ascii="Gill Sans MT" w:hAnsi="Gill Sans MT" w:cstheme="minorHAnsi"/>
        </w:rPr>
        <w:t>NTP</w:t>
      </w:r>
      <w:r w:rsidR="00C15CF8" w:rsidRPr="00D443CB">
        <w:rPr>
          <w:rFonts w:ascii="Gill Sans MT" w:hAnsi="Gill Sans MT" w:cstheme="minorHAnsi"/>
        </w:rPr>
        <w:t xml:space="preserve"> should define the scope of the assessment, determine a time frame, identify funding</w:t>
      </w:r>
      <w:r w:rsidRPr="00D443CB">
        <w:rPr>
          <w:rFonts w:ascii="Gill Sans MT" w:hAnsi="Gill Sans MT" w:cstheme="minorHAnsi"/>
        </w:rPr>
        <w:t xml:space="preserve">, and </w:t>
      </w:r>
      <w:r w:rsidR="005672D3" w:rsidRPr="00D443CB">
        <w:rPr>
          <w:rFonts w:ascii="Gill Sans MT" w:hAnsi="Gill Sans MT" w:cstheme="minorHAnsi"/>
        </w:rPr>
        <w:t>identify a third-party or technical partner to assist</w:t>
      </w:r>
      <w:r w:rsidRPr="00D443CB">
        <w:rPr>
          <w:rFonts w:ascii="Gill Sans MT" w:hAnsi="Gill Sans MT" w:cstheme="minorHAnsi"/>
        </w:rPr>
        <w:t xml:space="preserve">. </w:t>
      </w:r>
      <w:r w:rsidR="00970A93" w:rsidRPr="00D443CB">
        <w:rPr>
          <w:rFonts w:ascii="Gill Sans MT" w:hAnsi="Gill Sans MT" w:cstheme="minorHAnsi"/>
        </w:rPr>
        <w:t xml:space="preserve">The </w:t>
      </w:r>
      <w:r w:rsidR="00710169" w:rsidRPr="00D443CB">
        <w:rPr>
          <w:rFonts w:ascii="Gill Sans MT" w:hAnsi="Gill Sans MT" w:cstheme="minorHAnsi"/>
        </w:rPr>
        <w:t>Mo</w:t>
      </w:r>
      <w:r w:rsidR="00970A93" w:rsidRPr="00D443CB">
        <w:rPr>
          <w:rFonts w:ascii="Gill Sans MT" w:hAnsi="Gill Sans MT" w:cstheme="minorHAnsi"/>
        </w:rPr>
        <w:t xml:space="preserve">H or NTP should also identify areas of </w:t>
      </w:r>
      <w:r w:rsidR="00710169" w:rsidRPr="00D443CB">
        <w:rPr>
          <w:rFonts w:ascii="Gill Sans MT" w:hAnsi="Gill Sans MT" w:cstheme="minorHAnsi"/>
        </w:rPr>
        <w:t xml:space="preserve">special </w:t>
      </w:r>
      <w:r w:rsidR="00970A93" w:rsidRPr="00D443CB">
        <w:rPr>
          <w:rFonts w:ascii="Gill Sans MT" w:hAnsi="Gill Sans MT" w:cstheme="minorHAnsi"/>
        </w:rPr>
        <w:t xml:space="preserve">interest </w:t>
      </w:r>
      <w:r w:rsidR="00710169" w:rsidRPr="00D443CB">
        <w:rPr>
          <w:rFonts w:ascii="Gill Sans MT" w:hAnsi="Gill Sans MT" w:cstheme="minorHAnsi"/>
        </w:rPr>
        <w:t xml:space="preserve">(e.g., specimen referral systems, diagnostic data management, clinic-laboratory interface, etc.) </w:t>
      </w:r>
      <w:r w:rsidR="00970A93" w:rsidRPr="00D443CB">
        <w:rPr>
          <w:rFonts w:ascii="Gill Sans MT" w:hAnsi="Gill Sans MT" w:cstheme="minorHAnsi"/>
        </w:rPr>
        <w:t>to be investigated</w:t>
      </w:r>
      <w:r w:rsidR="00710169" w:rsidRPr="00D443CB">
        <w:rPr>
          <w:rFonts w:ascii="Gill Sans MT" w:hAnsi="Gill Sans MT" w:cstheme="minorHAnsi"/>
        </w:rPr>
        <w:t>.</w:t>
      </w:r>
    </w:p>
    <w:p w14:paraId="11F00AD9" w14:textId="5EEF54D2" w:rsidR="002F05B9" w:rsidRPr="00D443CB" w:rsidRDefault="00212658" w:rsidP="00FC763C">
      <w:pPr>
        <w:pStyle w:val="ListParagraph"/>
        <w:widowControl w:val="0"/>
        <w:numPr>
          <w:ilvl w:val="0"/>
          <w:numId w:val="26"/>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 xml:space="preserve">Assembling the team of </w:t>
      </w:r>
      <w:r w:rsidR="00213FEE" w:rsidRPr="00D443CB">
        <w:rPr>
          <w:rFonts w:ascii="Gill Sans MT" w:hAnsi="Gill Sans MT" w:cstheme="minorHAnsi"/>
        </w:rPr>
        <w:t xml:space="preserve">external </w:t>
      </w:r>
      <w:r w:rsidRPr="00D443CB">
        <w:rPr>
          <w:rFonts w:ascii="Gill Sans MT" w:hAnsi="Gill Sans MT" w:cstheme="minorHAnsi"/>
        </w:rPr>
        <w:t>assessors</w:t>
      </w:r>
      <w:r w:rsidR="007D2E70" w:rsidRPr="00D443CB">
        <w:rPr>
          <w:rFonts w:ascii="Gill Sans MT" w:hAnsi="Gill Sans MT" w:cstheme="minorHAnsi"/>
        </w:rPr>
        <w:t xml:space="preserve"> (i.e., national and international experts</w:t>
      </w:r>
      <w:r w:rsidR="007D2E70" w:rsidRPr="00D443CB">
        <w:rPr>
          <w:rFonts w:ascii="Gill Sans MT" w:hAnsi="Gill Sans MT"/>
        </w:rPr>
        <w:t xml:space="preserve"> not associated with the TB program or diagnostic network being evaluated)</w:t>
      </w:r>
      <w:r w:rsidRPr="00D443CB">
        <w:rPr>
          <w:rFonts w:ascii="Gill Sans MT" w:hAnsi="Gill Sans MT" w:cstheme="minorHAnsi"/>
        </w:rPr>
        <w:t xml:space="preserve"> is an important step and may require assistance from an implementing partner or donor. Sufficient lead time should be incorporated into the schedule if international assessors are involved to accommodate the need for travel arrangements, visas, etc.</w:t>
      </w:r>
      <w:r w:rsidR="00C15CF8" w:rsidRPr="00D443CB">
        <w:rPr>
          <w:rFonts w:ascii="Gill Sans MT" w:hAnsi="Gill Sans MT" w:cstheme="minorHAnsi"/>
        </w:rPr>
        <w:t xml:space="preserve"> </w:t>
      </w:r>
      <w:r w:rsidR="00BA2C09" w:rsidRPr="00D443CB">
        <w:rPr>
          <w:rFonts w:ascii="Gill Sans MT" w:hAnsi="Gill Sans MT" w:cstheme="minorHAnsi"/>
        </w:rPr>
        <w:t>Some considerations when choosing the assessment team:</w:t>
      </w:r>
    </w:p>
    <w:p w14:paraId="0D04C242" w14:textId="141203AB" w:rsidR="00BA2C09" w:rsidRPr="00D443CB" w:rsidRDefault="00BA2C09" w:rsidP="00FC763C">
      <w:pPr>
        <w:pStyle w:val="ListParagraph"/>
        <w:widowControl w:val="0"/>
        <w:numPr>
          <w:ilvl w:val="1"/>
          <w:numId w:val="26"/>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 xml:space="preserve">There should be an adequate mix of skills and expertise among the assessors to cover the objectives of the assessment. </w:t>
      </w:r>
      <w:r w:rsidR="004550DF" w:rsidRPr="00D443CB">
        <w:rPr>
          <w:rFonts w:ascii="Gill Sans MT" w:hAnsi="Gill Sans MT" w:cstheme="minorHAnsi"/>
        </w:rPr>
        <w:t>It is valuable to include some assessors who have experience working in the country to understand the country context.</w:t>
      </w:r>
    </w:p>
    <w:p w14:paraId="4A5B7107" w14:textId="087522A3" w:rsidR="00BA2C09" w:rsidRPr="00D443CB" w:rsidRDefault="00BA2C09" w:rsidP="00FC763C">
      <w:pPr>
        <w:pStyle w:val="ListParagraph"/>
        <w:widowControl w:val="0"/>
        <w:numPr>
          <w:ilvl w:val="1"/>
          <w:numId w:val="26"/>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 xml:space="preserve">Plan well in advance and send out a </w:t>
      </w:r>
      <w:r w:rsidR="00AB5A38" w:rsidRPr="00D443CB">
        <w:rPr>
          <w:rFonts w:ascii="Gill Sans MT" w:hAnsi="Gill Sans MT" w:cstheme="minorHAnsi"/>
        </w:rPr>
        <w:t>‘</w:t>
      </w:r>
      <w:r w:rsidRPr="00D443CB">
        <w:rPr>
          <w:rFonts w:ascii="Gill Sans MT" w:hAnsi="Gill Sans MT" w:cstheme="minorHAnsi"/>
        </w:rPr>
        <w:t>save the date</w:t>
      </w:r>
      <w:r w:rsidR="00AB5A38" w:rsidRPr="00D443CB">
        <w:rPr>
          <w:rFonts w:ascii="Gill Sans MT" w:hAnsi="Gill Sans MT" w:cstheme="minorHAnsi"/>
        </w:rPr>
        <w:t>’</w:t>
      </w:r>
      <w:r w:rsidRPr="00D443CB">
        <w:rPr>
          <w:rFonts w:ascii="Gill Sans MT" w:hAnsi="Gill Sans MT" w:cstheme="minorHAnsi"/>
        </w:rPr>
        <w:t xml:space="preserve"> to potential assessors, especially those with distinct or unique expertise, as schedules often fill quickly for </w:t>
      </w:r>
      <w:r w:rsidR="003D2056" w:rsidRPr="00D443CB">
        <w:rPr>
          <w:rFonts w:ascii="Gill Sans MT" w:hAnsi="Gill Sans MT" w:cstheme="minorHAnsi"/>
        </w:rPr>
        <w:t>well-qualified assessors</w:t>
      </w:r>
      <w:r w:rsidR="009A6AC4" w:rsidRPr="00D443CB">
        <w:rPr>
          <w:rFonts w:ascii="Gill Sans MT" w:hAnsi="Gill Sans MT" w:cstheme="minorHAnsi"/>
        </w:rPr>
        <w:t>.</w:t>
      </w:r>
    </w:p>
    <w:p w14:paraId="6A9B4A28" w14:textId="4EB65C42" w:rsidR="003D2056" w:rsidRPr="00D443CB" w:rsidRDefault="003D2056" w:rsidP="00FC763C">
      <w:pPr>
        <w:pStyle w:val="ListParagraph"/>
        <w:widowControl w:val="0"/>
        <w:numPr>
          <w:ilvl w:val="1"/>
          <w:numId w:val="26"/>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Assessors must be available for a pre-defined amount of time before and after the assessment to read documents, become familiar with the</w:t>
      </w:r>
      <w:r w:rsidR="00396891" w:rsidRPr="00D443CB">
        <w:rPr>
          <w:rFonts w:ascii="Gill Sans MT" w:hAnsi="Gill Sans MT" w:cstheme="minorHAnsi"/>
        </w:rPr>
        <w:t xml:space="preserve"> </w:t>
      </w:r>
      <w:r w:rsidR="005805FA" w:rsidRPr="00D443CB">
        <w:rPr>
          <w:rFonts w:ascii="Gill Sans MT" w:hAnsi="Gill Sans MT" w:cstheme="minorHAnsi"/>
        </w:rPr>
        <w:t>TB-Net Tool</w:t>
      </w:r>
      <w:r w:rsidRPr="00D443CB">
        <w:rPr>
          <w:rFonts w:ascii="Gill Sans MT" w:hAnsi="Gill Sans MT" w:cstheme="minorHAnsi"/>
        </w:rPr>
        <w:t>, participate in planning calls or meetings, and draft and finalize parts of the assessment report.</w:t>
      </w:r>
    </w:p>
    <w:p w14:paraId="32B7BD5D" w14:textId="1F437B68" w:rsidR="003D2056" w:rsidRPr="00D443CB" w:rsidRDefault="003D2056" w:rsidP="00FC763C">
      <w:pPr>
        <w:pStyle w:val="ListParagraph"/>
        <w:widowControl w:val="0"/>
        <w:numPr>
          <w:ilvl w:val="1"/>
          <w:numId w:val="26"/>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 xml:space="preserve">Assessors must be available for the full duration of the in-country assessment. Exceptions can occur but should be known in advance and arrangements made to cover all of the assessor’s roles and responsibilities. </w:t>
      </w:r>
    </w:p>
    <w:p w14:paraId="3EFC0D63" w14:textId="7C8EC364" w:rsidR="00B66ABB" w:rsidRPr="00D443CB" w:rsidRDefault="00B848D5" w:rsidP="00FC763C">
      <w:pPr>
        <w:pStyle w:val="ListParagraph"/>
        <w:widowControl w:val="0"/>
        <w:numPr>
          <w:ilvl w:val="1"/>
          <w:numId w:val="26"/>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If required, m</w:t>
      </w:r>
      <w:r w:rsidR="009A6AC4" w:rsidRPr="00D443CB">
        <w:rPr>
          <w:rFonts w:ascii="Gill Sans MT" w:hAnsi="Gill Sans MT" w:cstheme="minorHAnsi"/>
        </w:rPr>
        <w:t>embers of the assessment team</w:t>
      </w:r>
      <w:r w:rsidR="00E465C6" w:rsidRPr="00D443CB">
        <w:rPr>
          <w:rFonts w:ascii="Gill Sans MT" w:hAnsi="Gill Sans MT" w:cstheme="minorHAnsi"/>
        </w:rPr>
        <w:t xml:space="preserve"> should</w:t>
      </w:r>
      <w:r w:rsidR="009A6AC4" w:rsidRPr="00D443CB">
        <w:rPr>
          <w:rFonts w:ascii="Gill Sans MT" w:hAnsi="Gill Sans MT" w:cstheme="minorHAnsi"/>
        </w:rPr>
        <w:t xml:space="preserve"> sign a non-disclosure or other data agreement to keep all non-public data or information shared during the assessment confidential. Assessors should not use data or information from the assessment for their or their organization’s use outside of the specified objectives of the assessment.</w:t>
      </w:r>
    </w:p>
    <w:p w14:paraId="5D19C03D" w14:textId="1F29E6F3" w:rsidR="00874B93" w:rsidRPr="00D443CB" w:rsidRDefault="007D0B1B" w:rsidP="00FC763C">
      <w:pPr>
        <w:pStyle w:val="ListParagraph"/>
        <w:widowControl w:val="0"/>
        <w:numPr>
          <w:ilvl w:val="0"/>
          <w:numId w:val="26"/>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Travel and accommodation logistics must be arranged for assessment team members</w:t>
      </w:r>
    </w:p>
    <w:p w14:paraId="553F5E7E" w14:textId="77777777" w:rsidR="00212405" w:rsidRPr="00D443CB" w:rsidRDefault="003F629B" w:rsidP="00FC763C">
      <w:pPr>
        <w:pStyle w:val="ListParagraph"/>
        <w:widowControl w:val="0"/>
        <w:numPr>
          <w:ilvl w:val="0"/>
          <w:numId w:val="26"/>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A focal person</w:t>
      </w:r>
      <w:r w:rsidR="00212658" w:rsidRPr="00D443CB">
        <w:rPr>
          <w:rFonts w:ascii="Gill Sans MT" w:hAnsi="Gill Sans MT" w:cstheme="minorHAnsi"/>
        </w:rPr>
        <w:t xml:space="preserve"> for the external assessment team should be appointed and preferably </w:t>
      </w:r>
      <w:r w:rsidRPr="00D443CB">
        <w:rPr>
          <w:rFonts w:ascii="Gill Sans MT" w:hAnsi="Gill Sans MT" w:cstheme="minorHAnsi"/>
        </w:rPr>
        <w:t>should be</w:t>
      </w:r>
      <w:r w:rsidR="00212658" w:rsidRPr="00D443CB">
        <w:rPr>
          <w:rFonts w:ascii="Gill Sans MT" w:hAnsi="Gill Sans MT" w:cstheme="minorHAnsi"/>
        </w:rPr>
        <w:t xml:space="preserve"> someone locate</w:t>
      </w:r>
      <w:r w:rsidRPr="00D443CB">
        <w:rPr>
          <w:rFonts w:ascii="Gill Sans MT" w:hAnsi="Gill Sans MT" w:cstheme="minorHAnsi"/>
        </w:rPr>
        <w:t>d in</w:t>
      </w:r>
      <w:r w:rsidR="00212658" w:rsidRPr="00D443CB">
        <w:rPr>
          <w:rFonts w:ascii="Gill Sans MT" w:hAnsi="Gill Sans MT" w:cstheme="minorHAnsi"/>
        </w:rPr>
        <w:t xml:space="preserve"> country to facilitate communications. </w:t>
      </w:r>
      <w:r w:rsidR="009A6AC4" w:rsidRPr="00D443CB">
        <w:rPr>
          <w:rFonts w:ascii="Gill Sans MT" w:hAnsi="Gill Sans MT" w:cstheme="minorHAnsi"/>
        </w:rPr>
        <w:t xml:space="preserve">A focal person for the </w:t>
      </w:r>
      <w:r w:rsidR="00E27C49" w:rsidRPr="00D443CB">
        <w:rPr>
          <w:rFonts w:ascii="Gill Sans MT" w:hAnsi="Gill Sans MT" w:cstheme="minorHAnsi"/>
        </w:rPr>
        <w:t>MoH</w:t>
      </w:r>
      <w:r w:rsidR="009A6AC4" w:rsidRPr="00D443CB">
        <w:rPr>
          <w:rFonts w:ascii="Gill Sans MT" w:hAnsi="Gill Sans MT" w:cstheme="minorHAnsi"/>
        </w:rPr>
        <w:t xml:space="preserve">/NTP should also be appointed. </w:t>
      </w:r>
    </w:p>
    <w:p w14:paraId="774D1035" w14:textId="738A71E8" w:rsidR="00FF1935" w:rsidRPr="00D443CB" w:rsidRDefault="00FF1935" w:rsidP="00FC763C">
      <w:pPr>
        <w:pStyle w:val="ListParagraph"/>
        <w:widowControl w:val="0"/>
        <w:numPr>
          <w:ilvl w:val="0"/>
          <w:numId w:val="26"/>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The </w:t>
      </w:r>
      <w:r w:rsidR="00D27A18" w:rsidRPr="00D443CB">
        <w:rPr>
          <w:rFonts w:ascii="Gill Sans MT" w:hAnsi="Gill Sans MT" w:cstheme="minorHAnsi"/>
        </w:rPr>
        <w:t xml:space="preserve">external </w:t>
      </w:r>
      <w:r w:rsidRPr="00D443CB">
        <w:rPr>
          <w:rFonts w:ascii="Gill Sans MT" w:hAnsi="Gill Sans MT" w:cstheme="minorHAnsi"/>
        </w:rPr>
        <w:t xml:space="preserve">assessment </w:t>
      </w:r>
      <w:r w:rsidR="00356A84" w:rsidRPr="00D443CB">
        <w:rPr>
          <w:rFonts w:ascii="Gill Sans MT" w:hAnsi="Gill Sans MT" w:cstheme="minorHAnsi"/>
        </w:rPr>
        <w:t xml:space="preserve">team </w:t>
      </w:r>
      <w:r w:rsidRPr="00D443CB">
        <w:rPr>
          <w:rFonts w:ascii="Gill Sans MT" w:hAnsi="Gill Sans MT" w:cstheme="minorHAnsi"/>
        </w:rPr>
        <w:t xml:space="preserve">focal person shall </w:t>
      </w:r>
      <w:r w:rsidR="00396891" w:rsidRPr="00D443CB">
        <w:rPr>
          <w:rFonts w:ascii="Gill Sans MT" w:hAnsi="Gill Sans MT" w:cstheme="minorHAnsi"/>
        </w:rPr>
        <w:t>lead a</w:t>
      </w:r>
      <w:r w:rsidR="002F05B9" w:rsidRPr="00D443CB">
        <w:rPr>
          <w:rFonts w:ascii="Gill Sans MT" w:hAnsi="Gill Sans MT" w:cstheme="minorHAnsi"/>
        </w:rPr>
        <w:t>n initial</w:t>
      </w:r>
      <w:r w:rsidR="00E862E2" w:rsidRPr="00D443CB">
        <w:rPr>
          <w:rFonts w:ascii="Gill Sans MT" w:hAnsi="Gill Sans MT" w:cstheme="minorHAnsi"/>
        </w:rPr>
        <w:t xml:space="preserve"> meeting with the </w:t>
      </w:r>
      <w:r w:rsidR="002B309F" w:rsidRPr="00D443CB">
        <w:rPr>
          <w:rFonts w:ascii="Gill Sans MT" w:hAnsi="Gill Sans MT" w:cstheme="minorHAnsi"/>
        </w:rPr>
        <w:t>designated</w:t>
      </w:r>
      <w:r w:rsidRPr="00D443CB">
        <w:rPr>
          <w:rFonts w:ascii="Gill Sans MT" w:hAnsi="Gill Sans MT" w:cstheme="minorHAnsi"/>
        </w:rPr>
        <w:t xml:space="preserve"> </w:t>
      </w:r>
      <w:r w:rsidR="009A6AC4" w:rsidRPr="00D443CB">
        <w:rPr>
          <w:rFonts w:ascii="Gill Sans MT" w:hAnsi="Gill Sans MT" w:cstheme="minorHAnsi"/>
        </w:rPr>
        <w:t xml:space="preserve">MoH/NTP </w:t>
      </w:r>
      <w:r w:rsidRPr="00D443CB">
        <w:rPr>
          <w:rFonts w:ascii="Gill Sans MT" w:hAnsi="Gill Sans MT" w:cstheme="minorHAnsi"/>
        </w:rPr>
        <w:t>focal person</w:t>
      </w:r>
      <w:r w:rsidR="003F629B" w:rsidRPr="00D443CB">
        <w:rPr>
          <w:rFonts w:ascii="Gill Sans MT" w:hAnsi="Gill Sans MT" w:cstheme="minorHAnsi"/>
        </w:rPr>
        <w:t xml:space="preserve"> to review</w:t>
      </w:r>
      <w:r w:rsidRPr="00D443CB">
        <w:rPr>
          <w:rFonts w:ascii="Gill Sans MT" w:hAnsi="Gill Sans MT" w:cstheme="minorHAnsi"/>
        </w:rPr>
        <w:t xml:space="preserve"> the purpose </w:t>
      </w:r>
      <w:r w:rsidR="009A6AC4" w:rsidRPr="00D443CB">
        <w:rPr>
          <w:rFonts w:ascii="Gill Sans MT" w:hAnsi="Gill Sans MT" w:cstheme="minorHAnsi"/>
        </w:rPr>
        <w:t xml:space="preserve">of the assessment, explain the assessment process </w:t>
      </w:r>
      <w:r w:rsidRPr="00D443CB">
        <w:rPr>
          <w:rFonts w:ascii="Gill Sans MT" w:hAnsi="Gill Sans MT" w:cstheme="minorHAnsi"/>
        </w:rPr>
        <w:t xml:space="preserve">and </w:t>
      </w:r>
      <w:r w:rsidR="009A6AC4" w:rsidRPr="00D443CB">
        <w:rPr>
          <w:rFonts w:ascii="Gill Sans MT" w:hAnsi="Gill Sans MT" w:cstheme="minorHAnsi"/>
        </w:rPr>
        <w:t xml:space="preserve">provide an </w:t>
      </w:r>
      <w:r w:rsidRPr="00D443CB">
        <w:rPr>
          <w:rFonts w:ascii="Gill Sans MT" w:hAnsi="Gill Sans MT" w:cstheme="minorHAnsi"/>
        </w:rPr>
        <w:t xml:space="preserve">overview of </w:t>
      </w:r>
      <w:r w:rsidRPr="00D443CB">
        <w:rPr>
          <w:rFonts w:ascii="Gill Sans MT" w:hAnsi="Gill Sans MT" w:cstheme="minorHAnsi"/>
        </w:rPr>
        <w:lastRenderedPageBreak/>
        <w:t xml:space="preserve">the </w:t>
      </w:r>
      <w:r w:rsidR="005805FA" w:rsidRPr="00D443CB">
        <w:rPr>
          <w:rFonts w:ascii="Gill Sans MT" w:hAnsi="Gill Sans MT" w:cstheme="minorHAnsi"/>
        </w:rPr>
        <w:t>TB-Net Tool</w:t>
      </w:r>
      <w:r w:rsidRPr="00D443CB">
        <w:rPr>
          <w:rFonts w:ascii="Gill Sans MT" w:hAnsi="Gill Sans MT" w:cstheme="minorHAnsi"/>
        </w:rPr>
        <w:t xml:space="preserve">. The </w:t>
      </w:r>
      <w:r w:rsidR="00D27A18" w:rsidRPr="00D443CB">
        <w:rPr>
          <w:rFonts w:ascii="Gill Sans MT" w:hAnsi="Gill Sans MT" w:cstheme="minorHAnsi"/>
        </w:rPr>
        <w:t xml:space="preserve">external </w:t>
      </w:r>
      <w:r w:rsidRPr="00D443CB">
        <w:rPr>
          <w:rFonts w:ascii="Gill Sans MT" w:hAnsi="Gill Sans MT" w:cstheme="minorHAnsi"/>
        </w:rPr>
        <w:t xml:space="preserve">assessment </w:t>
      </w:r>
      <w:r w:rsidR="00356A84" w:rsidRPr="00D443CB">
        <w:rPr>
          <w:rFonts w:ascii="Gill Sans MT" w:hAnsi="Gill Sans MT" w:cstheme="minorHAnsi"/>
        </w:rPr>
        <w:t xml:space="preserve">team </w:t>
      </w:r>
      <w:r w:rsidRPr="00D443CB">
        <w:rPr>
          <w:rFonts w:ascii="Gill Sans MT" w:hAnsi="Gill Sans MT" w:cstheme="minorHAnsi"/>
        </w:rPr>
        <w:t xml:space="preserve">focal person shall provide the </w:t>
      </w:r>
      <w:r w:rsidR="004550DF" w:rsidRPr="00D443CB">
        <w:rPr>
          <w:rFonts w:ascii="Gill Sans MT" w:hAnsi="Gill Sans MT" w:cstheme="minorHAnsi"/>
        </w:rPr>
        <w:t xml:space="preserve">MoH/NTP </w:t>
      </w:r>
      <w:r w:rsidRPr="00D443CB">
        <w:rPr>
          <w:rFonts w:ascii="Gill Sans MT" w:hAnsi="Gill Sans MT" w:cstheme="minorHAnsi"/>
        </w:rPr>
        <w:t xml:space="preserve">focal person with the </w:t>
      </w:r>
      <w:r w:rsidR="005805FA" w:rsidRPr="00D443CB">
        <w:rPr>
          <w:rFonts w:ascii="Gill Sans MT" w:hAnsi="Gill Sans MT" w:cstheme="minorHAnsi"/>
        </w:rPr>
        <w:t>TB-Net Tool</w:t>
      </w:r>
      <w:r w:rsidR="002F05B9" w:rsidRPr="00D443CB">
        <w:rPr>
          <w:rFonts w:ascii="Gill Sans MT" w:hAnsi="Gill Sans MT" w:cstheme="minorHAnsi"/>
        </w:rPr>
        <w:t xml:space="preserve"> </w:t>
      </w:r>
      <w:r w:rsidRPr="00D443CB">
        <w:rPr>
          <w:rFonts w:ascii="Gill Sans MT" w:hAnsi="Gill Sans MT" w:cstheme="minorHAnsi"/>
        </w:rPr>
        <w:t xml:space="preserve">and manual </w:t>
      </w:r>
      <w:r w:rsidR="009E226B" w:rsidRPr="00D443CB">
        <w:rPr>
          <w:rFonts w:ascii="Gill Sans MT" w:hAnsi="Gill Sans MT" w:cstheme="minorHAnsi"/>
        </w:rPr>
        <w:t>6</w:t>
      </w:r>
      <w:r w:rsidR="00AB5A38" w:rsidRPr="00D443CB">
        <w:rPr>
          <w:rFonts w:ascii="Gill Sans MT" w:hAnsi="Gill Sans MT" w:cstheme="minorHAnsi"/>
        </w:rPr>
        <w:t>–</w:t>
      </w:r>
      <w:r w:rsidR="009E226B" w:rsidRPr="00D443CB">
        <w:rPr>
          <w:rFonts w:ascii="Gill Sans MT" w:hAnsi="Gill Sans MT" w:cstheme="minorHAnsi"/>
        </w:rPr>
        <w:t>8</w:t>
      </w:r>
      <w:r w:rsidRPr="00D443CB">
        <w:rPr>
          <w:rFonts w:ascii="Gill Sans MT" w:hAnsi="Gill Sans MT" w:cstheme="minorHAnsi"/>
        </w:rPr>
        <w:t xml:space="preserve"> weeks prior to the planned assessment. </w:t>
      </w:r>
      <w:r w:rsidR="009A6AC4" w:rsidRPr="00D443CB">
        <w:rPr>
          <w:rFonts w:ascii="Gill Sans MT" w:hAnsi="Gill Sans MT" w:cstheme="minorHAnsi"/>
        </w:rPr>
        <w:t xml:space="preserve">The focal persons should develop and agree upon the scope of work, roles and responsibilities, and timeline. </w:t>
      </w:r>
    </w:p>
    <w:p w14:paraId="5A43F899" w14:textId="337760EB" w:rsidR="00D2078E" w:rsidRPr="00D443CB" w:rsidRDefault="00D2078E" w:rsidP="008F79FE">
      <w:pPr>
        <w:widowControl w:val="0"/>
        <w:autoSpaceDE w:val="0"/>
        <w:autoSpaceDN w:val="0"/>
        <w:adjustRightInd w:val="0"/>
        <w:spacing w:after="0" w:line="240" w:lineRule="auto"/>
        <w:jc w:val="both"/>
        <w:rPr>
          <w:rFonts w:ascii="Gill Sans MT" w:hAnsi="Gill Sans MT" w:cstheme="minorHAnsi"/>
        </w:rPr>
      </w:pPr>
    </w:p>
    <w:p w14:paraId="645F805F" w14:textId="778EE021" w:rsidR="00032F49" w:rsidRPr="00D443CB" w:rsidRDefault="00032F49" w:rsidP="008F79FE">
      <w:pPr>
        <w:widowControl w:val="0"/>
        <w:autoSpaceDE w:val="0"/>
        <w:autoSpaceDN w:val="0"/>
        <w:adjustRightInd w:val="0"/>
        <w:spacing w:after="0" w:line="240" w:lineRule="auto"/>
        <w:jc w:val="both"/>
        <w:rPr>
          <w:rFonts w:ascii="Gill Sans MT" w:hAnsi="Gill Sans MT" w:cstheme="minorHAnsi"/>
        </w:rPr>
      </w:pPr>
      <w:r w:rsidRPr="00D443CB">
        <w:rPr>
          <w:rFonts w:ascii="Gill Sans MT" w:hAnsi="Gill Sans MT" w:cs="Calibri"/>
          <w:i/>
        </w:rPr>
        <w:t>Compile documents and national and sub-national data</w:t>
      </w:r>
    </w:p>
    <w:p w14:paraId="4A43F31C" w14:textId="2ECC1BC1" w:rsidR="00874B93" w:rsidRPr="00D443CB" w:rsidRDefault="00874B93" w:rsidP="00FC763C">
      <w:pPr>
        <w:pStyle w:val="ListParagraph"/>
        <w:widowControl w:val="0"/>
        <w:numPr>
          <w:ilvl w:val="0"/>
          <w:numId w:val="26"/>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In-country individuals or an in-country TB Laboratory working group identified by the MoH focal person in collaboration with the NTP will compile the required documents (see Annex 4) and collect the requested national and sub-national data on diagnostic and laboratory variables for the pre-assessment evaluation by the external team. External technical assistance may be needed.</w:t>
      </w:r>
    </w:p>
    <w:p w14:paraId="36E646F2" w14:textId="0C86EA03" w:rsidR="00874B93" w:rsidRPr="00D443CB" w:rsidRDefault="00874B93" w:rsidP="00FC763C">
      <w:pPr>
        <w:pStyle w:val="ListParagraph"/>
        <w:widowControl w:val="0"/>
        <w:numPr>
          <w:ilvl w:val="0"/>
          <w:numId w:val="26"/>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The MoH/NTP focal person shall provide the required documents to the persons conducting the self-assessment and to the external assessment team focal person.</w:t>
      </w:r>
    </w:p>
    <w:p w14:paraId="70CC494B" w14:textId="07317413" w:rsidR="00874B93" w:rsidRPr="00D443CB" w:rsidRDefault="00874B93" w:rsidP="00FC763C">
      <w:pPr>
        <w:pStyle w:val="ListParagraph"/>
        <w:widowControl w:val="0"/>
        <w:numPr>
          <w:ilvl w:val="0"/>
          <w:numId w:val="26"/>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The MoH/NTP focal person shall provide the requested national and sub-national data to the external assessment team focal point at least four weeks prior to the assessment.</w:t>
      </w:r>
    </w:p>
    <w:p w14:paraId="57274E3E" w14:textId="77777777" w:rsidR="00032F49" w:rsidRPr="00D443CB" w:rsidRDefault="00032F49" w:rsidP="008F79FE">
      <w:pPr>
        <w:widowControl w:val="0"/>
        <w:autoSpaceDE w:val="0"/>
        <w:autoSpaceDN w:val="0"/>
        <w:adjustRightInd w:val="0"/>
        <w:spacing w:after="0" w:line="240" w:lineRule="auto"/>
        <w:jc w:val="both"/>
        <w:rPr>
          <w:rFonts w:ascii="Gill Sans MT" w:hAnsi="Gill Sans MT" w:cstheme="minorHAnsi"/>
        </w:rPr>
      </w:pPr>
    </w:p>
    <w:p w14:paraId="0473AC68" w14:textId="7B18F95D" w:rsidR="00D2078E" w:rsidRPr="00D443CB" w:rsidRDefault="00D2078E" w:rsidP="008F79FE">
      <w:pPr>
        <w:widowControl w:val="0"/>
        <w:autoSpaceDE w:val="0"/>
        <w:autoSpaceDN w:val="0"/>
        <w:adjustRightInd w:val="0"/>
        <w:spacing w:after="0" w:line="240" w:lineRule="auto"/>
        <w:jc w:val="both"/>
        <w:rPr>
          <w:rFonts w:ascii="Gill Sans MT" w:hAnsi="Gill Sans MT" w:cstheme="minorHAnsi"/>
        </w:rPr>
      </w:pPr>
      <w:r w:rsidRPr="00D443CB">
        <w:rPr>
          <w:rFonts w:ascii="Gill Sans MT" w:hAnsi="Gill Sans MT" w:cs="Calibri"/>
          <w:i/>
        </w:rPr>
        <w:t>Self-assessment of the TB diagnostic network</w:t>
      </w:r>
    </w:p>
    <w:p w14:paraId="6273CB32" w14:textId="211FA213" w:rsidR="00FF1935" w:rsidRPr="00D443CB" w:rsidRDefault="009F5CF7" w:rsidP="00FC763C">
      <w:pPr>
        <w:pStyle w:val="ListParagraph"/>
        <w:widowControl w:val="0"/>
        <w:numPr>
          <w:ilvl w:val="0"/>
          <w:numId w:val="26"/>
        </w:numPr>
        <w:autoSpaceDE w:val="0"/>
        <w:autoSpaceDN w:val="0"/>
        <w:adjustRightInd w:val="0"/>
        <w:spacing w:after="0" w:line="240" w:lineRule="auto"/>
        <w:jc w:val="both"/>
        <w:rPr>
          <w:rFonts w:ascii="Gill Sans MT" w:hAnsi="Gill Sans MT" w:cstheme="minorHAnsi"/>
        </w:rPr>
      </w:pPr>
      <w:bookmarkStart w:id="31" w:name="_Hlk519860557"/>
      <w:r w:rsidRPr="00D443CB">
        <w:rPr>
          <w:rFonts w:ascii="Gill Sans MT" w:hAnsi="Gill Sans MT" w:cstheme="minorHAnsi"/>
        </w:rPr>
        <w:t>I</w:t>
      </w:r>
      <w:r w:rsidR="00E14C48" w:rsidRPr="00D443CB">
        <w:rPr>
          <w:rFonts w:ascii="Gill Sans MT" w:hAnsi="Gill Sans MT" w:cstheme="minorHAnsi"/>
        </w:rPr>
        <w:t xml:space="preserve">n-country individuals or </w:t>
      </w:r>
      <w:r w:rsidR="00356A84" w:rsidRPr="00D443CB">
        <w:rPr>
          <w:rFonts w:ascii="Gill Sans MT" w:hAnsi="Gill Sans MT" w:cstheme="minorHAnsi"/>
        </w:rPr>
        <w:t>TB</w:t>
      </w:r>
      <w:r w:rsidR="00FF1935" w:rsidRPr="00D443CB">
        <w:rPr>
          <w:rFonts w:ascii="Gill Sans MT" w:hAnsi="Gill Sans MT" w:cstheme="minorHAnsi"/>
        </w:rPr>
        <w:t xml:space="preserve"> Laboratory working group </w:t>
      </w:r>
      <w:r w:rsidRPr="00D443CB">
        <w:rPr>
          <w:rFonts w:ascii="Gill Sans MT" w:hAnsi="Gill Sans MT" w:cstheme="minorHAnsi"/>
        </w:rPr>
        <w:t xml:space="preserve">will be identified by the MoH focal person in collaboration with the NTP to complete </w:t>
      </w:r>
      <w:r w:rsidR="00874B93" w:rsidRPr="00D443CB">
        <w:rPr>
          <w:rFonts w:ascii="Gill Sans MT" w:hAnsi="Gill Sans MT" w:cstheme="minorHAnsi"/>
        </w:rPr>
        <w:t>the self-assessment of the TB diagnostic network using the</w:t>
      </w:r>
      <w:r w:rsidR="001D7D80" w:rsidRPr="00D443CB">
        <w:rPr>
          <w:rFonts w:ascii="Gill Sans MT" w:hAnsi="Gill Sans MT" w:cstheme="minorHAnsi"/>
        </w:rPr>
        <w:t xml:space="preserve"> </w:t>
      </w:r>
      <w:r w:rsidR="005805FA" w:rsidRPr="00D443CB">
        <w:rPr>
          <w:rFonts w:ascii="Gill Sans MT" w:hAnsi="Gill Sans MT" w:cstheme="minorHAnsi"/>
        </w:rPr>
        <w:t>TB-Net Tool</w:t>
      </w:r>
      <w:r w:rsidR="00FF1935" w:rsidRPr="00D443CB">
        <w:rPr>
          <w:rFonts w:ascii="Gill Sans MT" w:hAnsi="Gill Sans MT" w:cstheme="minorHAnsi"/>
        </w:rPr>
        <w:t xml:space="preserve">. </w:t>
      </w:r>
      <w:r w:rsidR="000D7C5B" w:rsidRPr="00D443CB">
        <w:rPr>
          <w:rFonts w:ascii="Gill Sans MT" w:hAnsi="Gill Sans MT" w:cstheme="minorHAnsi"/>
        </w:rPr>
        <w:t xml:space="preserve">External technical assistance may be needed. </w:t>
      </w:r>
      <w:r w:rsidR="00E14C48" w:rsidRPr="00D443CB">
        <w:rPr>
          <w:rFonts w:ascii="Gill Sans MT" w:hAnsi="Gill Sans MT" w:cstheme="minorHAnsi"/>
        </w:rPr>
        <w:t>If an in-country working group is used, t</w:t>
      </w:r>
      <w:r w:rsidR="00FF1935" w:rsidRPr="00D443CB">
        <w:rPr>
          <w:rFonts w:ascii="Gill Sans MT" w:hAnsi="Gill Sans MT" w:cstheme="minorHAnsi"/>
        </w:rPr>
        <w:t xml:space="preserve">he group </w:t>
      </w:r>
      <w:r w:rsidR="00E14C48" w:rsidRPr="00D443CB">
        <w:rPr>
          <w:rFonts w:ascii="Gill Sans MT" w:hAnsi="Gill Sans MT" w:cstheme="minorHAnsi"/>
        </w:rPr>
        <w:t>may include</w:t>
      </w:r>
      <w:r w:rsidR="00FF1935" w:rsidRPr="00D443CB">
        <w:rPr>
          <w:rFonts w:ascii="Gill Sans MT" w:hAnsi="Gill Sans MT" w:cstheme="minorHAnsi"/>
        </w:rPr>
        <w:t xml:space="preserve"> representation from:</w:t>
      </w:r>
    </w:p>
    <w:bookmarkEnd w:id="31"/>
    <w:p w14:paraId="3302FDD9" w14:textId="007D46A8" w:rsidR="00D60831" w:rsidRPr="00D443CB" w:rsidRDefault="00D27A18" w:rsidP="00FC763C">
      <w:pPr>
        <w:pStyle w:val="ListParagraph"/>
        <w:widowControl w:val="0"/>
        <w:numPr>
          <w:ilvl w:val="2"/>
          <w:numId w:val="3"/>
        </w:numPr>
        <w:autoSpaceDE w:val="0"/>
        <w:autoSpaceDN w:val="0"/>
        <w:adjustRightInd w:val="0"/>
        <w:spacing w:after="0" w:line="240" w:lineRule="auto"/>
        <w:ind w:left="1440" w:hanging="360"/>
        <w:jc w:val="both"/>
        <w:rPr>
          <w:rFonts w:ascii="Gill Sans MT" w:hAnsi="Gill Sans MT" w:cstheme="minorHAnsi"/>
        </w:rPr>
      </w:pPr>
      <w:r w:rsidRPr="00D443CB">
        <w:rPr>
          <w:rFonts w:ascii="Gill Sans MT" w:hAnsi="Gill Sans MT" w:cstheme="minorHAnsi"/>
        </w:rPr>
        <w:t>NTP</w:t>
      </w:r>
      <w:r w:rsidR="00FF1935" w:rsidRPr="00D443CB">
        <w:rPr>
          <w:rFonts w:ascii="Gill Sans MT" w:hAnsi="Gill Sans MT" w:cstheme="minorHAnsi"/>
        </w:rPr>
        <w:t xml:space="preserve"> laboratory network representatives </w:t>
      </w:r>
      <w:r w:rsidR="003428EC" w:rsidRPr="00D443CB">
        <w:rPr>
          <w:rFonts w:ascii="Gill Sans MT" w:hAnsi="Gill Sans MT" w:cstheme="minorHAnsi"/>
        </w:rPr>
        <w:t>may include</w:t>
      </w:r>
      <w:r w:rsidR="00FF1935" w:rsidRPr="00D443CB">
        <w:rPr>
          <w:rFonts w:ascii="Gill Sans MT" w:hAnsi="Gill Sans MT" w:cstheme="minorHAnsi"/>
        </w:rPr>
        <w:t xml:space="preserve">: </w:t>
      </w:r>
    </w:p>
    <w:p w14:paraId="0F472671" w14:textId="2B1B54C8" w:rsidR="00D27A18"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Laboratory Services Director</w:t>
      </w:r>
    </w:p>
    <w:p w14:paraId="645BAEEC" w14:textId="75FC9BA0" w:rsidR="00D60831"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Laboratory Quality Unit </w:t>
      </w:r>
    </w:p>
    <w:p w14:paraId="01ACCB88" w14:textId="6BBD98F4" w:rsidR="00FF1935"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Biosafety </w:t>
      </w:r>
      <w:r w:rsidR="00B83DF8" w:rsidRPr="00D443CB">
        <w:rPr>
          <w:rFonts w:ascii="Gill Sans MT" w:hAnsi="Gill Sans MT" w:cstheme="minorHAnsi"/>
        </w:rPr>
        <w:t>and</w:t>
      </w:r>
      <w:r w:rsidRPr="00D443CB">
        <w:rPr>
          <w:rFonts w:ascii="Gill Sans MT" w:hAnsi="Gill Sans MT" w:cstheme="minorHAnsi"/>
        </w:rPr>
        <w:t xml:space="preserve"> Biorisk Unit</w:t>
      </w:r>
    </w:p>
    <w:p w14:paraId="4ECC093E" w14:textId="66AE4425" w:rsidR="00D60831"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Procurement and Supply Management Unit </w:t>
      </w:r>
    </w:p>
    <w:p w14:paraId="5D08D3A8" w14:textId="120D84CD" w:rsidR="00FF1935"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Finance Unit</w:t>
      </w:r>
    </w:p>
    <w:p w14:paraId="36ACB72A" w14:textId="4358E882" w:rsidR="00FF1935"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Human Resource Unit</w:t>
      </w:r>
    </w:p>
    <w:p w14:paraId="7B0E75FF" w14:textId="49808B36" w:rsidR="00D60831"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Environment and Infection Control Unit</w:t>
      </w:r>
    </w:p>
    <w:p w14:paraId="1AFB9CA7" w14:textId="34B2E339" w:rsidR="00FF1935"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Planning Unit</w:t>
      </w:r>
    </w:p>
    <w:p w14:paraId="41B576B4" w14:textId="2A8EDA6D" w:rsidR="00FF1935" w:rsidRPr="00D443CB" w:rsidRDefault="00FF1935" w:rsidP="00FC763C">
      <w:pPr>
        <w:pStyle w:val="ListParagraph"/>
        <w:widowControl w:val="0"/>
        <w:numPr>
          <w:ilvl w:val="0"/>
          <w:numId w:val="17"/>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Statistics Unit</w:t>
      </w:r>
    </w:p>
    <w:p w14:paraId="7ECFBE93" w14:textId="2D66FAD4" w:rsidR="00D60831" w:rsidRPr="00D443CB" w:rsidRDefault="00FF1935" w:rsidP="008F79FE">
      <w:pPr>
        <w:widowControl w:val="0"/>
        <w:autoSpaceDE w:val="0"/>
        <w:autoSpaceDN w:val="0"/>
        <w:adjustRightInd w:val="0"/>
        <w:spacing w:after="0" w:line="240" w:lineRule="auto"/>
        <w:ind w:left="1080"/>
        <w:jc w:val="both"/>
        <w:rPr>
          <w:rFonts w:ascii="Gill Sans MT" w:hAnsi="Gill Sans MT" w:cstheme="minorHAnsi"/>
        </w:rPr>
      </w:pPr>
      <w:r w:rsidRPr="00D443CB">
        <w:rPr>
          <w:rFonts w:ascii="Gill Sans MT" w:hAnsi="Gill Sans MT" w:cstheme="minorHAnsi"/>
        </w:rPr>
        <w:t xml:space="preserve">o Private laboratory </w:t>
      </w:r>
      <w:r w:rsidR="00475885" w:rsidRPr="00D443CB">
        <w:rPr>
          <w:rFonts w:ascii="Gill Sans MT" w:hAnsi="Gill Sans MT" w:cstheme="minorHAnsi"/>
        </w:rPr>
        <w:t xml:space="preserve">and clinical </w:t>
      </w:r>
      <w:r w:rsidRPr="00D443CB">
        <w:rPr>
          <w:rFonts w:ascii="Gill Sans MT" w:hAnsi="Gill Sans MT" w:cstheme="minorHAnsi"/>
        </w:rPr>
        <w:t>sector</w:t>
      </w:r>
      <w:r w:rsidR="00475885" w:rsidRPr="00D443CB">
        <w:rPr>
          <w:rFonts w:ascii="Gill Sans MT" w:hAnsi="Gill Sans MT" w:cstheme="minorHAnsi"/>
        </w:rPr>
        <w:t>s</w:t>
      </w:r>
      <w:r w:rsidRPr="00D443CB">
        <w:rPr>
          <w:rFonts w:ascii="Gill Sans MT" w:hAnsi="Gill Sans MT" w:cstheme="minorHAnsi"/>
        </w:rPr>
        <w:t xml:space="preserve"> </w:t>
      </w:r>
    </w:p>
    <w:p w14:paraId="6997AE88" w14:textId="02CF1015" w:rsidR="00FF1935" w:rsidRPr="00D443CB" w:rsidRDefault="00FF1935" w:rsidP="008F79FE">
      <w:pPr>
        <w:widowControl w:val="0"/>
        <w:autoSpaceDE w:val="0"/>
        <w:autoSpaceDN w:val="0"/>
        <w:adjustRightInd w:val="0"/>
        <w:spacing w:after="0" w:line="240" w:lineRule="auto"/>
        <w:ind w:left="1080"/>
        <w:jc w:val="both"/>
        <w:rPr>
          <w:rFonts w:ascii="Gill Sans MT" w:hAnsi="Gill Sans MT" w:cstheme="minorHAnsi"/>
        </w:rPr>
      </w:pPr>
      <w:r w:rsidRPr="00D443CB">
        <w:rPr>
          <w:rFonts w:ascii="Gill Sans MT" w:hAnsi="Gill Sans MT" w:cstheme="minorHAnsi"/>
        </w:rPr>
        <w:t>o Education sector</w:t>
      </w:r>
    </w:p>
    <w:p w14:paraId="1BE55F23" w14:textId="30DD1229" w:rsidR="00FF1935" w:rsidRPr="00D443CB" w:rsidRDefault="00FF1935" w:rsidP="008F79FE">
      <w:pPr>
        <w:widowControl w:val="0"/>
        <w:autoSpaceDE w:val="0"/>
        <w:autoSpaceDN w:val="0"/>
        <w:adjustRightInd w:val="0"/>
        <w:spacing w:after="0" w:line="240" w:lineRule="auto"/>
        <w:ind w:left="1080"/>
        <w:jc w:val="both"/>
        <w:rPr>
          <w:rFonts w:ascii="Gill Sans MT" w:hAnsi="Gill Sans MT" w:cstheme="minorHAnsi"/>
        </w:rPr>
      </w:pPr>
      <w:r w:rsidRPr="00D443CB">
        <w:rPr>
          <w:rFonts w:ascii="Gill Sans MT" w:hAnsi="Gill Sans MT" w:cstheme="minorHAnsi"/>
        </w:rPr>
        <w:t>o Representation for the laboratory tiers as appropriate</w:t>
      </w:r>
    </w:p>
    <w:p w14:paraId="07AB91A7" w14:textId="7CC4FD32" w:rsidR="00FF1935" w:rsidRPr="00D443CB" w:rsidRDefault="00FF1935"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The M</w:t>
      </w:r>
      <w:r w:rsidR="00E00815" w:rsidRPr="00D443CB">
        <w:rPr>
          <w:rFonts w:ascii="Gill Sans MT" w:hAnsi="Gill Sans MT" w:cstheme="minorHAnsi"/>
        </w:rPr>
        <w:t>o</w:t>
      </w:r>
      <w:r w:rsidRPr="00D443CB">
        <w:rPr>
          <w:rFonts w:ascii="Gill Sans MT" w:hAnsi="Gill Sans MT" w:cstheme="minorHAnsi"/>
        </w:rPr>
        <w:t>H</w:t>
      </w:r>
      <w:r w:rsidR="00D27A18" w:rsidRPr="00D443CB">
        <w:rPr>
          <w:rFonts w:ascii="Gill Sans MT" w:hAnsi="Gill Sans MT" w:cstheme="minorHAnsi"/>
        </w:rPr>
        <w:t>/NTP</w:t>
      </w:r>
      <w:r w:rsidR="002B309F" w:rsidRPr="00D443CB">
        <w:rPr>
          <w:rFonts w:ascii="Gill Sans MT" w:hAnsi="Gill Sans MT" w:cstheme="minorHAnsi"/>
        </w:rPr>
        <w:t xml:space="preserve"> </w:t>
      </w:r>
      <w:r w:rsidRPr="00D443CB">
        <w:rPr>
          <w:rFonts w:ascii="Gill Sans MT" w:hAnsi="Gill Sans MT" w:cstheme="minorHAnsi"/>
        </w:rPr>
        <w:t xml:space="preserve">focal person shall provide the completed </w:t>
      </w:r>
      <w:r w:rsidR="002F05B9" w:rsidRPr="00D443CB">
        <w:rPr>
          <w:rFonts w:ascii="Gill Sans MT" w:hAnsi="Gill Sans MT" w:cstheme="minorHAnsi"/>
        </w:rPr>
        <w:t xml:space="preserve">self-assessed </w:t>
      </w:r>
      <w:r w:rsidR="005805FA" w:rsidRPr="00D443CB">
        <w:rPr>
          <w:rFonts w:ascii="Gill Sans MT" w:hAnsi="Gill Sans MT" w:cstheme="minorHAnsi"/>
        </w:rPr>
        <w:t>TB-Net Tool</w:t>
      </w:r>
      <w:r w:rsidRPr="00D443CB">
        <w:rPr>
          <w:rFonts w:ascii="Gill Sans MT" w:hAnsi="Gill Sans MT" w:cstheme="minorHAnsi"/>
        </w:rPr>
        <w:t xml:space="preserve"> to </w:t>
      </w:r>
      <w:r w:rsidR="00D27A18" w:rsidRPr="00D443CB">
        <w:rPr>
          <w:rFonts w:ascii="Gill Sans MT" w:hAnsi="Gill Sans MT" w:cstheme="minorHAnsi"/>
        </w:rPr>
        <w:t>the external assessment team focal point</w:t>
      </w:r>
      <w:r w:rsidRPr="00D443CB">
        <w:rPr>
          <w:rFonts w:ascii="Gill Sans MT" w:hAnsi="Gill Sans MT" w:cstheme="minorHAnsi"/>
        </w:rPr>
        <w:t xml:space="preserve"> at least </w:t>
      </w:r>
      <w:r w:rsidR="0073668E" w:rsidRPr="00D443CB">
        <w:rPr>
          <w:rFonts w:ascii="Gill Sans MT" w:hAnsi="Gill Sans MT" w:cstheme="minorHAnsi"/>
        </w:rPr>
        <w:t>two</w:t>
      </w:r>
      <w:r w:rsidRPr="00D443CB">
        <w:rPr>
          <w:rFonts w:ascii="Gill Sans MT" w:hAnsi="Gill Sans MT" w:cstheme="minorHAnsi"/>
        </w:rPr>
        <w:t xml:space="preserve"> week</w:t>
      </w:r>
      <w:r w:rsidR="0073668E" w:rsidRPr="00D443CB">
        <w:rPr>
          <w:rFonts w:ascii="Gill Sans MT" w:hAnsi="Gill Sans MT" w:cstheme="minorHAnsi"/>
        </w:rPr>
        <w:t>s</w:t>
      </w:r>
      <w:r w:rsidRPr="00D443CB">
        <w:rPr>
          <w:rFonts w:ascii="Gill Sans MT" w:hAnsi="Gill Sans MT" w:cstheme="minorHAnsi"/>
        </w:rPr>
        <w:t xml:space="preserve"> prior to the assessment</w:t>
      </w:r>
      <w:r w:rsidR="009A6AC4" w:rsidRPr="00D443CB">
        <w:rPr>
          <w:rFonts w:ascii="Gill Sans MT" w:hAnsi="Gill Sans MT" w:cstheme="minorHAnsi"/>
        </w:rPr>
        <w:t>.</w:t>
      </w:r>
      <w:r w:rsidR="00A64963" w:rsidRPr="00D443CB">
        <w:rPr>
          <w:rFonts w:ascii="Gill Sans MT" w:hAnsi="Gill Sans MT" w:cstheme="minorHAnsi"/>
        </w:rPr>
        <w:t xml:space="preserve"> </w:t>
      </w:r>
    </w:p>
    <w:p w14:paraId="37733840" w14:textId="412E0F4A" w:rsidR="00032F49" w:rsidRPr="00D443CB" w:rsidRDefault="00032F49" w:rsidP="008F79FE">
      <w:pPr>
        <w:widowControl w:val="0"/>
        <w:autoSpaceDE w:val="0"/>
        <w:autoSpaceDN w:val="0"/>
        <w:adjustRightInd w:val="0"/>
        <w:spacing w:after="0" w:line="240" w:lineRule="auto"/>
        <w:jc w:val="both"/>
        <w:rPr>
          <w:rFonts w:ascii="Gill Sans MT" w:hAnsi="Gill Sans MT" w:cstheme="minorHAnsi"/>
        </w:rPr>
      </w:pPr>
    </w:p>
    <w:p w14:paraId="1F0D685F" w14:textId="22A87808" w:rsidR="00032F49" w:rsidRPr="00D443CB" w:rsidRDefault="001873F9" w:rsidP="008F79FE">
      <w:pPr>
        <w:widowControl w:val="0"/>
        <w:autoSpaceDE w:val="0"/>
        <w:autoSpaceDN w:val="0"/>
        <w:adjustRightInd w:val="0"/>
        <w:spacing w:after="0" w:line="240" w:lineRule="auto"/>
        <w:jc w:val="both"/>
        <w:rPr>
          <w:rFonts w:ascii="Gill Sans MT" w:hAnsi="Gill Sans MT" w:cs="Calibri"/>
          <w:i/>
        </w:rPr>
      </w:pPr>
      <w:r w:rsidRPr="00D443CB">
        <w:rPr>
          <w:rFonts w:ascii="Gill Sans MT" w:hAnsi="Gill Sans MT" w:cs="Calibri"/>
          <w:i/>
        </w:rPr>
        <w:t>Selection of sites and preparations for v</w:t>
      </w:r>
      <w:r w:rsidR="00032F49" w:rsidRPr="00D443CB">
        <w:rPr>
          <w:rFonts w:ascii="Gill Sans MT" w:hAnsi="Gill Sans MT" w:cs="Calibri"/>
          <w:i/>
        </w:rPr>
        <w:t>erification visits</w:t>
      </w:r>
    </w:p>
    <w:p w14:paraId="34118E31" w14:textId="6D5B54A5" w:rsidR="00CC77C2" w:rsidRPr="00D443CB" w:rsidRDefault="00CC77C2" w:rsidP="00CC77C2">
      <w:pPr>
        <w:widowControl w:val="0"/>
        <w:autoSpaceDE w:val="0"/>
        <w:autoSpaceDN w:val="0"/>
        <w:adjustRightInd w:val="0"/>
        <w:spacing w:after="0" w:line="240" w:lineRule="auto"/>
        <w:ind w:firstLine="360"/>
        <w:jc w:val="both"/>
        <w:rPr>
          <w:rFonts w:ascii="Gill Sans MT" w:hAnsi="Gill Sans MT" w:cstheme="minorHAnsi"/>
          <w:iCs/>
        </w:rPr>
      </w:pPr>
      <w:r w:rsidRPr="00D443CB">
        <w:rPr>
          <w:rFonts w:ascii="Gill Sans MT" w:hAnsi="Gill Sans MT" w:cs="Calibri"/>
          <w:iCs/>
        </w:rPr>
        <w:t>(Guidance on selecting sites is presented in Annex 10)</w:t>
      </w:r>
    </w:p>
    <w:p w14:paraId="1EBB6485" w14:textId="2A14B516" w:rsidR="00B96A9F" w:rsidRPr="00D443CB" w:rsidRDefault="00B96A9F"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The M</w:t>
      </w:r>
      <w:r w:rsidR="00E00815" w:rsidRPr="00D443CB">
        <w:rPr>
          <w:rFonts w:ascii="Gill Sans MT" w:hAnsi="Gill Sans MT" w:cstheme="minorHAnsi"/>
        </w:rPr>
        <w:t>o</w:t>
      </w:r>
      <w:r w:rsidRPr="00D443CB">
        <w:rPr>
          <w:rFonts w:ascii="Gill Sans MT" w:hAnsi="Gill Sans MT" w:cstheme="minorHAnsi"/>
        </w:rPr>
        <w:t xml:space="preserve">H/NTP team </w:t>
      </w:r>
      <w:r w:rsidR="000D7C5B" w:rsidRPr="00D443CB">
        <w:rPr>
          <w:rFonts w:ascii="Gill Sans MT" w:hAnsi="Gill Sans MT" w:cstheme="minorHAnsi"/>
        </w:rPr>
        <w:t xml:space="preserve">with assistance from the external assessment team </w:t>
      </w:r>
      <w:r w:rsidRPr="00D443CB">
        <w:rPr>
          <w:rFonts w:ascii="Gill Sans MT" w:hAnsi="Gill Sans MT" w:cstheme="minorHAnsi"/>
        </w:rPr>
        <w:t xml:space="preserve">will determine which regions of the country </w:t>
      </w:r>
      <w:r w:rsidR="00394F48" w:rsidRPr="00D443CB">
        <w:rPr>
          <w:rFonts w:ascii="Gill Sans MT" w:hAnsi="Gill Sans MT" w:cstheme="minorHAnsi"/>
        </w:rPr>
        <w:t>to include</w:t>
      </w:r>
      <w:r w:rsidRPr="00D443CB">
        <w:rPr>
          <w:rFonts w:ascii="Gill Sans MT" w:hAnsi="Gill Sans MT" w:cstheme="minorHAnsi"/>
        </w:rPr>
        <w:t xml:space="preserve"> in the assessment</w:t>
      </w:r>
      <w:r w:rsidR="00E862E2" w:rsidRPr="00D443CB">
        <w:rPr>
          <w:rFonts w:ascii="Gill Sans MT" w:hAnsi="Gill Sans MT" w:cstheme="minorHAnsi"/>
        </w:rPr>
        <w:t>.</w:t>
      </w:r>
      <w:r w:rsidR="00705932" w:rsidRPr="00D443CB">
        <w:rPr>
          <w:rFonts w:ascii="Gill Sans MT" w:hAnsi="Gill Sans MT" w:cstheme="minorHAnsi"/>
        </w:rPr>
        <w:t xml:space="preserve"> </w:t>
      </w:r>
      <w:r w:rsidR="00845E87" w:rsidRPr="00D443CB">
        <w:rPr>
          <w:rFonts w:ascii="Gill Sans MT" w:hAnsi="Gill Sans MT" w:cstheme="minorHAnsi"/>
        </w:rPr>
        <w:t xml:space="preserve">If there are multiple designated NTRLs in the country, each NTRL should be visited as well as region(s) supervised by that NTRL. </w:t>
      </w:r>
      <w:r w:rsidR="00705932" w:rsidRPr="00D443CB">
        <w:rPr>
          <w:rFonts w:ascii="Gill Sans MT" w:hAnsi="Gill Sans MT" w:cstheme="minorHAnsi"/>
        </w:rPr>
        <w:t xml:space="preserve">The regions should </w:t>
      </w:r>
      <w:r w:rsidR="00E24672" w:rsidRPr="00D443CB">
        <w:rPr>
          <w:rFonts w:ascii="Gill Sans MT" w:hAnsi="Gill Sans MT" w:cstheme="minorHAnsi"/>
        </w:rPr>
        <w:t xml:space="preserve">encompass </w:t>
      </w:r>
      <w:r w:rsidR="00705932" w:rsidRPr="00D443CB">
        <w:rPr>
          <w:rFonts w:ascii="Gill Sans MT" w:hAnsi="Gill Sans MT" w:cstheme="minorHAnsi"/>
        </w:rPr>
        <w:t>the variation in diagnostic networks throughout the country and include regions where access to diagnostic services is easy (</w:t>
      </w:r>
      <w:r w:rsidR="006574D2" w:rsidRPr="00D443CB">
        <w:rPr>
          <w:rFonts w:ascii="Gill Sans MT" w:hAnsi="Gill Sans MT" w:cstheme="minorHAnsi"/>
        </w:rPr>
        <w:t>e.g.</w:t>
      </w:r>
      <w:r w:rsidR="00705932" w:rsidRPr="00D443CB">
        <w:rPr>
          <w:rFonts w:ascii="Gill Sans MT" w:hAnsi="Gill Sans MT" w:cstheme="minorHAnsi"/>
        </w:rPr>
        <w:t>, an urban area with a well-developed diagnostic network), moderately difficult and difficult (</w:t>
      </w:r>
      <w:r w:rsidR="006574D2" w:rsidRPr="00D443CB">
        <w:rPr>
          <w:rFonts w:ascii="Gill Sans MT" w:hAnsi="Gill Sans MT" w:cstheme="minorHAnsi"/>
        </w:rPr>
        <w:t>e.g.</w:t>
      </w:r>
      <w:r w:rsidR="00705932" w:rsidRPr="00D443CB">
        <w:rPr>
          <w:rFonts w:ascii="Gill Sans MT" w:hAnsi="Gill Sans MT" w:cstheme="minorHAnsi"/>
        </w:rPr>
        <w:t>, a sparsely populated rural area with few diagnostic facilities or with transportation challenges).</w:t>
      </w:r>
      <w:r w:rsidR="006E4773" w:rsidRPr="00D443CB">
        <w:rPr>
          <w:rFonts w:ascii="Gill Sans MT" w:hAnsi="Gill Sans MT" w:cstheme="minorHAnsi"/>
        </w:rPr>
        <w:t xml:space="preserve"> It is not necessary to conduct verification visits in all regions of the country</w:t>
      </w:r>
      <w:r w:rsidR="00845E87" w:rsidRPr="00D443CB">
        <w:rPr>
          <w:rFonts w:ascii="Gill Sans MT" w:hAnsi="Gill Sans MT" w:cstheme="minorHAnsi"/>
        </w:rPr>
        <w:t>.</w:t>
      </w:r>
    </w:p>
    <w:p w14:paraId="51358D33" w14:textId="145DC1F9" w:rsidR="006E4773" w:rsidRPr="00D443CB" w:rsidRDefault="006E4773"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 xml:space="preserve">Note: the number of regions </w:t>
      </w:r>
      <w:r w:rsidR="00E465C6" w:rsidRPr="00D443CB">
        <w:rPr>
          <w:rFonts w:ascii="Gill Sans MT" w:hAnsi="Gill Sans MT" w:cstheme="minorHAnsi"/>
        </w:rPr>
        <w:t xml:space="preserve">and facilities </w:t>
      </w:r>
      <w:r w:rsidRPr="00D443CB">
        <w:rPr>
          <w:rFonts w:ascii="Gill Sans MT" w:hAnsi="Gill Sans MT" w:cstheme="minorHAnsi"/>
        </w:rPr>
        <w:t>to be visited will</w:t>
      </w:r>
      <w:r w:rsidR="00C30C44" w:rsidRPr="00D443CB">
        <w:rPr>
          <w:rFonts w:ascii="Gill Sans MT" w:hAnsi="Gill Sans MT" w:cstheme="minorHAnsi"/>
        </w:rPr>
        <w:t>,</w:t>
      </w:r>
      <w:r w:rsidRPr="00D443CB">
        <w:rPr>
          <w:rFonts w:ascii="Gill Sans MT" w:hAnsi="Gill Sans MT" w:cstheme="minorHAnsi"/>
        </w:rPr>
        <w:t xml:space="preserve"> </w:t>
      </w:r>
      <w:r w:rsidR="00E465C6" w:rsidRPr="00D443CB">
        <w:rPr>
          <w:rFonts w:ascii="Gill Sans MT" w:hAnsi="Gill Sans MT" w:cstheme="minorHAnsi"/>
        </w:rPr>
        <w:t>in large part</w:t>
      </w:r>
      <w:r w:rsidR="00C30C44" w:rsidRPr="00D443CB">
        <w:rPr>
          <w:rFonts w:ascii="Gill Sans MT" w:hAnsi="Gill Sans MT" w:cstheme="minorHAnsi"/>
        </w:rPr>
        <w:t>,</w:t>
      </w:r>
      <w:r w:rsidR="00E465C6" w:rsidRPr="00D443CB">
        <w:rPr>
          <w:rFonts w:ascii="Gill Sans MT" w:hAnsi="Gill Sans MT" w:cstheme="minorHAnsi"/>
        </w:rPr>
        <w:t xml:space="preserve"> </w:t>
      </w:r>
      <w:r w:rsidRPr="00D443CB">
        <w:rPr>
          <w:rFonts w:ascii="Gill Sans MT" w:hAnsi="Gill Sans MT" w:cstheme="minorHAnsi"/>
        </w:rPr>
        <w:t xml:space="preserve">determine the number of </w:t>
      </w:r>
      <w:r w:rsidR="00F34A9B" w:rsidRPr="00D443CB">
        <w:rPr>
          <w:rFonts w:ascii="Gill Sans MT" w:hAnsi="Gill Sans MT" w:cstheme="minorHAnsi"/>
        </w:rPr>
        <w:t xml:space="preserve">site-assessment teams and </w:t>
      </w:r>
      <w:r w:rsidRPr="00D443CB">
        <w:rPr>
          <w:rFonts w:ascii="Gill Sans MT" w:hAnsi="Gill Sans MT" w:cstheme="minorHAnsi"/>
        </w:rPr>
        <w:t xml:space="preserve">external assessors needed (plan for </w:t>
      </w:r>
      <w:r w:rsidR="00F34A9B" w:rsidRPr="00D443CB">
        <w:rPr>
          <w:rFonts w:ascii="Gill Sans MT" w:hAnsi="Gill Sans MT" w:cstheme="minorHAnsi"/>
        </w:rPr>
        <w:t xml:space="preserve">one site-assessment team per region and </w:t>
      </w:r>
      <w:r w:rsidRPr="00D443CB">
        <w:rPr>
          <w:rFonts w:ascii="Gill Sans MT" w:hAnsi="Gill Sans MT" w:cstheme="minorHAnsi"/>
        </w:rPr>
        <w:t xml:space="preserve">two external assessors per </w:t>
      </w:r>
      <w:r w:rsidR="00F34A9B" w:rsidRPr="00D443CB">
        <w:rPr>
          <w:rFonts w:ascii="Gill Sans MT" w:hAnsi="Gill Sans MT" w:cstheme="minorHAnsi"/>
        </w:rPr>
        <w:t xml:space="preserve">site-assessment team) and the number of </w:t>
      </w:r>
      <w:r w:rsidR="00E465C6" w:rsidRPr="00D443CB">
        <w:rPr>
          <w:rFonts w:ascii="Gill Sans MT" w:hAnsi="Gill Sans MT" w:cstheme="minorHAnsi"/>
        </w:rPr>
        <w:t>facilities</w:t>
      </w:r>
      <w:r w:rsidR="00F34A9B" w:rsidRPr="00D443CB">
        <w:rPr>
          <w:rFonts w:ascii="Gill Sans MT" w:hAnsi="Gill Sans MT" w:cstheme="minorHAnsi"/>
        </w:rPr>
        <w:t xml:space="preserve"> to visit per region will determine the number of days needed for verification visits (assume </w:t>
      </w:r>
      <w:r w:rsidR="00AB4341" w:rsidRPr="00D443CB">
        <w:rPr>
          <w:rFonts w:ascii="Gill Sans MT" w:hAnsi="Gill Sans MT" w:cstheme="minorHAnsi"/>
        </w:rPr>
        <w:t>2</w:t>
      </w:r>
      <w:r w:rsidR="00F34A9B" w:rsidRPr="00D443CB">
        <w:rPr>
          <w:rFonts w:ascii="Gill Sans MT" w:hAnsi="Gill Sans MT" w:cstheme="minorHAnsi"/>
        </w:rPr>
        <w:t xml:space="preserve"> to </w:t>
      </w:r>
      <w:r w:rsidR="00AB4341" w:rsidRPr="00D443CB">
        <w:rPr>
          <w:rFonts w:ascii="Gill Sans MT" w:hAnsi="Gill Sans MT" w:cstheme="minorHAnsi"/>
        </w:rPr>
        <w:t>4</w:t>
      </w:r>
      <w:r w:rsidR="00F34A9B" w:rsidRPr="00D443CB">
        <w:rPr>
          <w:rFonts w:ascii="Gill Sans MT" w:hAnsi="Gill Sans MT" w:cstheme="minorHAnsi"/>
        </w:rPr>
        <w:t xml:space="preserve"> sites can be visited each day depending on the time needed for travel between sites). For many countries, 4 to 5 regions with 6 to 10 </w:t>
      </w:r>
      <w:r w:rsidR="00C30C44" w:rsidRPr="00D443CB">
        <w:rPr>
          <w:rFonts w:ascii="Gill Sans MT" w:hAnsi="Gill Sans MT" w:cstheme="minorHAnsi"/>
        </w:rPr>
        <w:t>facilities</w:t>
      </w:r>
      <w:r w:rsidR="00F34A9B" w:rsidRPr="00D443CB">
        <w:rPr>
          <w:rFonts w:ascii="Gill Sans MT" w:hAnsi="Gill Sans MT" w:cstheme="minorHAnsi"/>
        </w:rPr>
        <w:t xml:space="preserve"> </w:t>
      </w:r>
      <w:r w:rsidR="00F34A9B" w:rsidRPr="00D443CB">
        <w:rPr>
          <w:rFonts w:ascii="Gill Sans MT" w:hAnsi="Gill Sans MT" w:cstheme="minorHAnsi"/>
        </w:rPr>
        <w:lastRenderedPageBreak/>
        <w:t>per region will be sufficient.</w:t>
      </w:r>
    </w:p>
    <w:p w14:paraId="7554E644" w14:textId="2D1AF724" w:rsidR="00925C64" w:rsidRPr="00D443CB" w:rsidRDefault="00FF1935"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 xml:space="preserve">The </w:t>
      </w:r>
      <w:r w:rsidR="009A2E5D" w:rsidRPr="00D443CB">
        <w:rPr>
          <w:rFonts w:ascii="Gill Sans MT" w:hAnsi="Gill Sans MT" w:cstheme="minorHAnsi"/>
        </w:rPr>
        <w:t>Mo</w:t>
      </w:r>
      <w:r w:rsidR="002820E9" w:rsidRPr="00D443CB">
        <w:rPr>
          <w:rFonts w:ascii="Gill Sans MT" w:hAnsi="Gill Sans MT" w:cstheme="minorHAnsi"/>
        </w:rPr>
        <w:t>H/</w:t>
      </w:r>
      <w:r w:rsidR="00D27A18" w:rsidRPr="00D443CB">
        <w:rPr>
          <w:rFonts w:ascii="Gill Sans MT" w:hAnsi="Gill Sans MT" w:cstheme="minorHAnsi"/>
        </w:rPr>
        <w:t>NTP</w:t>
      </w:r>
      <w:r w:rsidRPr="00D443CB">
        <w:rPr>
          <w:rFonts w:ascii="Gill Sans MT" w:hAnsi="Gill Sans MT" w:cstheme="minorHAnsi"/>
        </w:rPr>
        <w:t xml:space="preserve"> focal person will prepare a list of </w:t>
      </w:r>
      <w:r w:rsidR="00845E87" w:rsidRPr="00D443CB">
        <w:rPr>
          <w:rFonts w:ascii="Gill Sans MT" w:hAnsi="Gill Sans MT" w:cstheme="minorHAnsi"/>
        </w:rPr>
        <w:t>facilities and p</w:t>
      </w:r>
      <w:r w:rsidR="007D3C8B" w:rsidRPr="00D443CB">
        <w:rPr>
          <w:rFonts w:ascii="Gill Sans MT" w:hAnsi="Gill Sans MT" w:cstheme="minorHAnsi"/>
        </w:rPr>
        <w:t>e</w:t>
      </w:r>
      <w:r w:rsidR="00845E87" w:rsidRPr="00D443CB">
        <w:rPr>
          <w:rFonts w:ascii="Gill Sans MT" w:hAnsi="Gill Sans MT" w:cstheme="minorHAnsi"/>
        </w:rPr>
        <w:t>rsons</w:t>
      </w:r>
      <w:r w:rsidRPr="00D443CB">
        <w:rPr>
          <w:rFonts w:ascii="Gill Sans MT" w:hAnsi="Gill Sans MT" w:cstheme="minorHAnsi"/>
        </w:rPr>
        <w:t xml:space="preserve"> at each tier of the </w:t>
      </w:r>
      <w:r w:rsidR="00845E87" w:rsidRPr="00D443CB">
        <w:rPr>
          <w:rFonts w:ascii="Gill Sans MT" w:hAnsi="Gill Sans MT" w:cstheme="minorHAnsi"/>
        </w:rPr>
        <w:t>diagnostic network</w:t>
      </w:r>
      <w:r w:rsidRPr="00D443CB">
        <w:rPr>
          <w:rFonts w:ascii="Gill Sans MT" w:hAnsi="Gill Sans MT" w:cstheme="minorHAnsi"/>
        </w:rPr>
        <w:t xml:space="preserve"> </w:t>
      </w:r>
      <w:r w:rsidR="00B96A9F" w:rsidRPr="00D443CB">
        <w:rPr>
          <w:rFonts w:ascii="Gill Sans MT" w:hAnsi="Gill Sans MT" w:cstheme="minorHAnsi"/>
        </w:rPr>
        <w:t xml:space="preserve">that are available to </w:t>
      </w:r>
      <w:r w:rsidR="008647AA" w:rsidRPr="00D443CB">
        <w:rPr>
          <w:rFonts w:ascii="Gill Sans MT" w:hAnsi="Gill Sans MT" w:cstheme="minorHAnsi"/>
        </w:rPr>
        <w:t>be visited</w:t>
      </w:r>
      <w:r w:rsidR="00B96A9F" w:rsidRPr="00D443CB">
        <w:rPr>
          <w:rFonts w:ascii="Gill Sans MT" w:hAnsi="Gill Sans MT" w:cstheme="minorHAnsi"/>
        </w:rPr>
        <w:t xml:space="preserve"> in the regions to be assessed. </w:t>
      </w:r>
      <w:r w:rsidRPr="00D443CB">
        <w:rPr>
          <w:rFonts w:ascii="Gill Sans MT" w:hAnsi="Gill Sans MT" w:cstheme="minorHAnsi"/>
        </w:rPr>
        <w:t xml:space="preserve">The laboratories should </w:t>
      </w:r>
      <w:r w:rsidR="00731C76" w:rsidRPr="00D443CB">
        <w:rPr>
          <w:rFonts w:ascii="Gill Sans MT" w:hAnsi="Gill Sans MT" w:cstheme="minorHAnsi"/>
        </w:rPr>
        <w:t>be representative of</w:t>
      </w:r>
      <w:r w:rsidRPr="00D443CB">
        <w:rPr>
          <w:rFonts w:ascii="Gill Sans MT" w:hAnsi="Gill Sans MT" w:cstheme="minorHAnsi"/>
        </w:rPr>
        <w:t xml:space="preserve"> </w:t>
      </w:r>
      <w:r w:rsidR="00B568FA" w:rsidRPr="00D443CB">
        <w:rPr>
          <w:rFonts w:ascii="Gill Sans MT" w:hAnsi="Gill Sans MT" w:cstheme="minorHAnsi"/>
        </w:rPr>
        <w:t xml:space="preserve">the </w:t>
      </w:r>
      <w:r w:rsidRPr="00D443CB">
        <w:rPr>
          <w:rFonts w:ascii="Gill Sans MT" w:hAnsi="Gill Sans MT" w:cstheme="minorHAnsi"/>
        </w:rPr>
        <w:t xml:space="preserve">laboratory tier and not the </w:t>
      </w:r>
      <w:r w:rsidR="00C95168" w:rsidRPr="00D443CB">
        <w:rPr>
          <w:rFonts w:ascii="Gill Sans MT" w:hAnsi="Gill Sans MT" w:cstheme="minorHAnsi"/>
        </w:rPr>
        <w:t>‘</w:t>
      </w:r>
      <w:r w:rsidRPr="00D443CB">
        <w:rPr>
          <w:rFonts w:ascii="Gill Sans MT" w:hAnsi="Gill Sans MT" w:cstheme="minorHAnsi"/>
        </w:rPr>
        <w:t>best performing</w:t>
      </w:r>
      <w:r w:rsidR="00C95168" w:rsidRPr="00D443CB">
        <w:rPr>
          <w:rFonts w:ascii="Gill Sans MT" w:hAnsi="Gill Sans MT" w:cstheme="minorHAnsi"/>
        </w:rPr>
        <w:t>’</w:t>
      </w:r>
      <w:r w:rsidRPr="00D443CB">
        <w:rPr>
          <w:rFonts w:ascii="Gill Sans MT" w:hAnsi="Gill Sans MT" w:cstheme="minorHAnsi"/>
        </w:rPr>
        <w:t xml:space="preserve"> laboratories. </w:t>
      </w:r>
      <w:r w:rsidR="0081337E" w:rsidRPr="00D443CB">
        <w:rPr>
          <w:rFonts w:ascii="Gill Sans MT" w:hAnsi="Gill Sans MT" w:cstheme="minorHAnsi"/>
        </w:rPr>
        <w:t xml:space="preserve">The </w:t>
      </w:r>
      <w:r w:rsidR="00C82BEB" w:rsidRPr="00D443CB">
        <w:rPr>
          <w:rFonts w:ascii="Gill Sans MT" w:hAnsi="Gill Sans MT" w:cstheme="minorHAnsi"/>
        </w:rPr>
        <w:t>facilities</w:t>
      </w:r>
      <w:r w:rsidR="0081337E" w:rsidRPr="00D443CB">
        <w:rPr>
          <w:rFonts w:ascii="Gill Sans MT" w:hAnsi="Gill Sans MT" w:cstheme="minorHAnsi"/>
        </w:rPr>
        <w:t xml:space="preserve"> selected for a verification visit will be determined by the MoH/NTP team with support of the external assessment team </w:t>
      </w:r>
      <w:r w:rsidR="007D2E70" w:rsidRPr="00D443CB">
        <w:rPr>
          <w:rFonts w:ascii="Gill Sans MT" w:hAnsi="Gill Sans MT" w:cstheme="minorHAnsi"/>
        </w:rPr>
        <w:t xml:space="preserve">focal point </w:t>
      </w:r>
      <w:r w:rsidR="0081337E" w:rsidRPr="00D443CB">
        <w:rPr>
          <w:rFonts w:ascii="Gill Sans MT" w:hAnsi="Gill Sans MT" w:cstheme="minorHAnsi"/>
        </w:rPr>
        <w:t>to ensure representativeness.</w:t>
      </w:r>
      <w:r w:rsidR="00B568FA" w:rsidRPr="00D443CB">
        <w:rPr>
          <w:rFonts w:ascii="Gill Sans MT" w:hAnsi="Gill Sans MT" w:cstheme="minorHAnsi"/>
        </w:rPr>
        <w:t xml:space="preserve"> </w:t>
      </w:r>
      <w:r w:rsidR="00696EDD" w:rsidRPr="00D443CB">
        <w:rPr>
          <w:rFonts w:ascii="Gill Sans MT" w:hAnsi="Gill Sans MT" w:cstheme="minorHAnsi"/>
        </w:rPr>
        <w:t>Any laboratory or facility that processes TB specimens or is involved in the diagnostic network should be considered including those in the private sector and other sectors as relevant in the country (e.g.</w:t>
      </w:r>
      <w:r w:rsidR="00213FEE" w:rsidRPr="00D443CB">
        <w:rPr>
          <w:rFonts w:ascii="Gill Sans MT" w:hAnsi="Gill Sans MT" w:cstheme="minorHAnsi"/>
        </w:rPr>
        <w:t>, NGOs,</w:t>
      </w:r>
      <w:r w:rsidR="00696EDD" w:rsidRPr="00D443CB">
        <w:rPr>
          <w:rFonts w:ascii="Gill Sans MT" w:hAnsi="Gill Sans MT" w:cstheme="minorHAnsi"/>
        </w:rPr>
        <w:t xml:space="preserve"> military, police, prison, corporate, etc.). </w:t>
      </w:r>
    </w:p>
    <w:p w14:paraId="2221656D" w14:textId="7B5EFD33" w:rsidR="00925C64" w:rsidRPr="00D443CB" w:rsidRDefault="00AB4341" w:rsidP="00FC763C">
      <w:pPr>
        <w:pStyle w:val="ListParagraph"/>
        <w:widowControl w:val="0"/>
        <w:numPr>
          <w:ilvl w:val="0"/>
          <w:numId w:val="29"/>
        </w:numPr>
        <w:tabs>
          <w:tab w:val="left" w:pos="1080"/>
          <w:tab w:val="left" w:pos="1440"/>
        </w:tabs>
        <w:autoSpaceDE w:val="0"/>
        <w:autoSpaceDN w:val="0"/>
        <w:adjustRightInd w:val="0"/>
        <w:spacing w:after="0" w:line="240" w:lineRule="auto"/>
        <w:ind w:left="1094" w:hanging="230"/>
        <w:jc w:val="both"/>
        <w:rPr>
          <w:rFonts w:ascii="Gill Sans MT" w:hAnsi="Gill Sans MT" w:cstheme="minorHAnsi"/>
        </w:rPr>
      </w:pPr>
      <w:r w:rsidRPr="00D443CB">
        <w:rPr>
          <w:rFonts w:ascii="Gill Sans MT" w:hAnsi="Gill Sans MT" w:cstheme="minorHAnsi"/>
        </w:rPr>
        <w:t>S</w:t>
      </w:r>
      <w:r w:rsidR="00925C64" w:rsidRPr="00D443CB">
        <w:rPr>
          <w:rFonts w:ascii="Gill Sans MT" w:hAnsi="Gill Sans MT" w:cstheme="minorHAnsi"/>
        </w:rPr>
        <w:t xml:space="preserve">ites </w:t>
      </w:r>
      <w:r w:rsidRPr="00D443CB">
        <w:rPr>
          <w:rFonts w:ascii="Gill Sans MT" w:hAnsi="Gill Sans MT" w:cstheme="minorHAnsi"/>
        </w:rPr>
        <w:t>should be</w:t>
      </w:r>
      <w:r w:rsidR="00925C64" w:rsidRPr="00D443CB">
        <w:rPr>
          <w:rFonts w:ascii="Gill Sans MT" w:hAnsi="Gill Sans MT" w:cstheme="minorHAnsi"/>
        </w:rPr>
        <w:t xml:space="preserve"> selected that represent </w:t>
      </w:r>
      <w:r w:rsidR="00845E87" w:rsidRPr="00D443CB">
        <w:rPr>
          <w:rFonts w:ascii="Gill Sans MT" w:hAnsi="Gill Sans MT" w:cstheme="minorHAnsi"/>
        </w:rPr>
        <w:t>five</w:t>
      </w:r>
      <w:r w:rsidR="00925C64" w:rsidRPr="00D443CB">
        <w:rPr>
          <w:rFonts w:ascii="Gill Sans MT" w:hAnsi="Gill Sans MT" w:cstheme="minorHAnsi"/>
        </w:rPr>
        <w:t xml:space="preserve"> levels of </w:t>
      </w:r>
      <w:r w:rsidR="00845E87" w:rsidRPr="00D443CB">
        <w:rPr>
          <w:rFonts w:ascii="Gill Sans MT" w:hAnsi="Gill Sans MT" w:cstheme="minorHAnsi"/>
        </w:rPr>
        <w:t xml:space="preserve">TB </w:t>
      </w:r>
      <w:r w:rsidR="00925C64" w:rsidRPr="00D443CB">
        <w:rPr>
          <w:rFonts w:ascii="Gill Sans MT" w:hAnsi="Gill Sans MT" w:cstheme="minorHAnsi"/>
        </w:rPr>
        <w:t>diagnostic services:</w:t>
      </w:r>
    </w:p>
    <w:p w14:paraId="5512B923" w14:textId="6420AE02" w:rsidR="00925C64" w:rsidRPr="00D443CB" w:rsidRDefault="00925C64" w:rsidP="00FC763C">
      <w:pPr>
        <w:pStyle w:val="ListParagraph"/>
        <w:widowControl w:val="0"/>
        <w:numPr>
          <w:ilvl w:val="1"/>
          <w:numId w:val="30"/>
        </w:numPr>
        <w:tabs>
          <w:tab w:val="left" w:pos="1080"/>
          <w:tab w:val="left" w:pos="1440"/>
        </w:tabs>
        <w:autoSpaceDE w:val="0"/>
        <w:autoSpaceDN w:val="0"/>
        <w:adjustRightInd w:val="0"/>
        <w:spacing w:after="0" w:line="240" w:lineRule="auto"/>
        <w:ind w:left="1382" w:hanging="230"/>
        <w:jc w:val="both"/>
        <w:rPr>
          <w:rFonts w:ascii="Gill Sans MT" w:hAnsi="Gill Sans MT" w:cstheme="minorHAnsi"/>
        </w:rPr>
      </w:pPr>
      <w:r w:rsidRPr="00D443CB">
        <w:rPr>
          <w:rFonts w:ascii="Gill Sans MT" w:hAnsi="Gill Sans MT" w:cstheme="minorHAnsi"/>
        </w:rPr>
        <w:t xml:space="preserve">National </w:t>
      </w:r>
      <w:r w:rsidR="00644C15" w:rsidRPr="00D443CB">
        <w:rPr>
          <w:rFonts w:ascii="Gill Sans MT" w:hAnsi="Gill Sans MT" w:cstheme="minorHAnsi"/>
        </w:rPr>
        <w:t xml:space="preserve">TB </w:t>
      </w:r>
      <w:r w:rsidRPr="00D443CB">
        <w:rPr>
          <w:rFonts w:ascii="Gill Sans MT" w:hAnsi="Gill Sans MT" w:cstheme="minorHAnsi"/>
        </w:rPr>
        <w:t>Refer</w:t>
      </w:r>
      <w:r w:rsidR="00644C15" w:rsidRPr="00D443CB">
        <w:rPr>
          <w:rFonts w:ascii="Gill Sans MT" w:hAnsi="Gill Sans MT" w:cstheme="minorHAnsi"/>
        </w:rPr>
        <w:t>ence</w:t>
      </w:r>
      <w:r w:rsidRPr="00D443CB">
        <w:rPr>
          <w:rFonts w:ascii="Gill Sans MT" w:hAnsi="Gill Sans MT" w:cstheme="minorHAnsi"/>
        </w:rPr>
        <w:t xml:space="preserve"> or Public Health Laboratory</w:t>
      </w:r>
    </w:p>
    <w:p w14:paraId="4A554610" w14:textId="507B310F" w:rsidR="00925C64" w:rsidRPr="00D443CB" w:rsidRDefault="00925C64" w:rsidP="00FC763C">
      <w:pPr>
        <w:pStyle w:val="ListParagraph"/>
        <w:widowControl w:val="0"/>
        <w:numPr>
          <w:ilvl w:val="1"/>
          <w:numId w:val="30"/>
        </w:numPr>
        <w:tabs>
          <w:tab w:val="left" w:pos="1080"/>
          <w:tab w:val="left" w:pos="1440"/>
        </w:tabs>
        <w:autoSpaceDE w:val="0"/>
        <w:autoSpaceDN w:val="0"/>
        <w:adjustRightInd w:val="0"/>
        <w:spacing w:after="0" w:line="240" w:lineRule="auto"/>
        <w:ind w:left="1382" w:hanging="230"/>
        <w:jc w:val="both"/>
        <w:rPr>
          <w:rFonts w:ascii="Gill Sans MT" w:hAnsi="Gill Sans MT" w:cstheme="minorHAnsi"/>
        </w:rPr>
      </w:pPr>
      <w:r w:rsidRPr="00D443CB">
        <w:rPr>
          <w:rFonts w:ascii="Gill Sans MT" w:hAnsi="Gill Sans MT" w:cstheme="minorHAnsi"/>
        </w:rPr>
        <w:t xml:space="preserve">Intermediate </w:t>
      </w:r>
      <w:r w:rsidR="0039604D" w:rsidRPr="00D443CB">
        <w:rPr>
          <w:rFonts w:ascii="Gill Sans MT" w:hAnsi="Gill Sans MT" w:cstheme="minorHAnsi"/>
        </w:rPr>
        <w:t>reference</w:t>
      </w:r>
      <w:r w:rsidRPr="00D443CB">
        <w:rPr>
          <w:rFonts w:ascii="Gill Sans MT" w:hAnsi="Gill Sans MT" w:cstheme="minorHAnsi"/>
        </w:rPr>
        <w:t xml:space="preserve"> laboratory</w:t>
      </w:r>
      <w:r w:rsidR="0039604D" w:rsidRPr="00D443CB">
        <w:rPr>
          <w:rFonts w:ascii="Gill Sans MT" w:hAnsi="Gill Sans MT" w:cstheme="minorHAnsi"/>
        </w:rPr>
        <w:t xml:space="preserve"> (IRL)</w:t>
      </w:r>
      <w:r w:rsidRPr="00D443CB">
        <w:rPr>
          <w:rFonts w:ascii="Gill Sans MT" w:hAnsi="Gill Sans MT" w:cstheme="minorHAnsi"/>
        </w:rPr>
        <w:t xml:space="preserve"> </w:t>
      </w:r>
    </w:p>
    <w:p w14:paraId="047F1663" w14:textId="0156AEEE" w:rsidR="00845E87" w:rsidRPr="00D443CB" w:rsidRDefault="00AB4341" w:rsidP="00FC763C">
      <w:pPr>
        <w:pStyle w:val="ListParagraph"/>
        <w:widowControl w:val="0"/>
        <w:numPr>
          <w:ilvl w:val="1"/>
          <w:numId w:val="30"/>
        </w:numPr>
        <w:tabs>
          <w:tab w:val="left" w:pos="1080"/>
          <w:tab w:val="left" w:pos="1440"/>
        </w:tabs>
        <w:autoSpaceDE w:val="0"/>
        <w:autoSpaceDN w:val="0"/>
        <w:adjustRightInd w:val="0"/>
        <w:spacing w:after="0" w:line="240" w:lineRule="auto"/>
        <w:ind w:left="1670" w:hanging="230"/>
        <w:jc w:val="both"/>
        <w:rPr>
          <w:rFonts w:ascii="Gill Sans MT" w:hAnsi="Gill Sans MT" w:cstheme="minorHAnsi"/>
        </w:rPr>
      </w:pPr>
      <w:r w:rsidRPr="00D443CB">
        <w:rPr>
          <w:rFonts w:ascii="Gill Sans MT" w:hAnsi="Gill Sans MT" w:cs="Calibri"/>
        </w:rPr>
        <w:t xml:space="preserve">Most, if not all, </w:t>
      </w:r>
      <w:r w:rsidR="00845E87" w:rsidRPr="00D443CB">
        <w:rPr>
          <w:rFonts w:ascii="Gill Sans MT" w:hAnsi="Gill Sans MT" w:cs="Calibri"/>
        </w:rPr>
        <w:t>IRLs</w:t>
      </w:r>
      <w:r w:rsidRPr="00D443CB">
        <w:rPr>
          <w:rFonts w:ascii="Gill Sans MT" w:hAnsi="Gill Sans MT" w:cs="Calibri"/>
        </w:rPr>
        <w:t xml:space="preserve"> will</w:t>
      </w:r>
      <w:r w:rsidR="00845E87" w:rsidRPr="00D443CB">
        <w:rPr>
          <w:rFonts w:ascii="Gill Sans MT" w:hAnsi="Gill Sans MT" w:cs="Calibri"/>
        </w:rPr>
        <w:t xml:space="preserve"> have the responsibility for supervising peripheral laboratories</w:t>
      </w:r>
      <w:r w:rsidRPr="00D443CB">
        <w:rPr>
          <w:rFonts w:ascii="Gill Sans MT" w:hAnsi="Gill Sans MT" w:cs="Calibri"/>
        </w:rPr>
        <w:t>.</w:t>
      </w:r>
    </w:p>
    <w:p w14:paraId="49007286" w14:textId="12F791AC" w:rsidR="00845E87" w:rsidRPr="00D443CB" w:rsidRDefault="00845E87" w:rsidP="00FC763C">
      <w:pPr>
        <w:pStyle w:val="ListParagraph"/>
        <w:widowControl w:val="0"/>
        <w:numPr>
          <w:ilvl w:val="1"/>
          <w:numId w:val="30"/>
        </w:numPr>
        <w:tabs>
          <w:tab w:val="left" w:pos="1080"/>
          <w:tab w:val="left" w:pos="1440"/>
        </w:tabs>
        <w:autoSpaceDE w:val="0"/>
        <w:autoSpaceDN w:val="0"/>
        <w:adjustRightInd w:val="0"/>
        <w:spacing w:after="0" w:line="240" w:lineRule="auto"/>
        <w:ind w:left="1670" w:hanging="230"/>
        <w:jc w:val="both"/>
        <w:rPr>
          <w:rFonts w:ascii="Gill Sans MT" w:hAnsi="Gill Sans MT" w:cstheme="minorHAnsi"/>
        </w:rPr>
      </w:pPr>
      <w:r w:rsidRPr="00D443CB">
        <w:rPr>
          <w:rFonts w:ascii="Gill Sans MT" w:hAnsi="Gill Sans MT" w:cs="Calibri"/>
        </w:rPr>
        <w:t>In some countries, there may be IRLs that do not have supervisory responsibilities but have the responsibility for conducting centralized or sophisticated testing (e.g., LPAs, high-throughput molecular DST, culture, phenotypic DST, etc.)</w:t>
      </w:r>
      <w:r w:rsidR="00AB4341" w:rsidRPr="00D443CB">
        <w:rPr>
          <w:rFonts w:ascii="Gill Sans MT" w:hAnsi="Gill Sans MT" w:cs="Calibri"/>
        </w:rPr>
        <w:t>.</w:t>
      </w:r>
      <w:r w:rsidRPr="00D443CB">
        <w:rPr>
          <w:rFonts w:ascii="Gill Sans MT" w:hAnsi="Gill Sans MT" w:cs="Calibri"/>
        </w:rPr>
        <w:t xml:space="preserve"> </w:t>
      </w:r>
    </w:p>
    <w:p w14:paraId="446D9F31" w14:textId="3DD8F712" w:rsidR="00925C64" w:rsidRPr="00D443CB" w:rsidRDefault="00925C64" w:rsidP="00FC763C">
      <w:pPr>
        <w:pStyle w:val="ListParagraph"/>
        <w:widowControl w:val="0"/>
        <w:numPr>
          <w:ilvl w:val="1"/>
          <w:numId w:val="30"/>
        </w:numPr>
        <w:tabs>
          <w:tab w:val="left" w:pos="1080"/>
          <w:tab w:val="left" w:pos="1440"/>
        </w:tabs>
        <w:autoSpaceDE w:val="0"/>
        <w:autoSpaceDN w:val="0"/>
        <w:adjustRightInd w:val="0"/>
        <w:spacing w:after="0" w:line="240" w:lineRule="auto"/>
        <w:ind w:left="1382" w:hanging="230"/>
        <w:jc w:val="both"/>
        <w:rPr>
          <w:rFonts w:ascii="Gill Sans MT" w:hAnsi="Gill Sans MT" w:cstheme="minorHAnsi"/>
        </w:rPr>
      </w:pPr>
      <w:r w:rsidRPr="00D443CB">
        <w:rPr>
          <w:rFonts w:ascii="Gill Sans MT" w:hAnsi="Gill Sans MT" w:cstheme="minorHAnsi"/>
        </w:rPr>
        <w:t>Peripheral laboratory (district or sub-district)</w:t>
      </w:r>
    </w:p>
    <w:p w14:paraId="478B3CE3" w14:textId="75818A91" w:rsidR="00845E87" w:rsidRPr="00D443CB" w:rsidRDefault="00845E87" w:rsidP="00FC763C">
      <w:pPr>
        <w:pStyle w:val="ListParagraph"/>
        <w:widowControl w:val="0"/>
        <w:numPr>
          <w:ilvl w:val="1"/>
          <w:numId w:val="30"/>
        </w:numPr>
        <w:tabs>
          <w:tab w:val="left" w:pos="1080"/>
          <w:tab w:val="left" w:pos="1440"/>
        </w:tabs>
        <w:autoSpaceDE w:val="0"/>
        <w:autoSpaceDN w:val="0"/>
        <w:adjustRightInd w:val="0"/>
        <w:spacing w:after="0" w:line="240" w:lineRule="auto"/>
        <w:ind w:left="1670" w:hanging="230"/>
        <w:jc w:val="both"/>
        <w:rPr>
          <w:rFonts w:ascii="Gill Sans MT" w:hAnsi="Gill Sans MT" w:cstheme="minorHAnsi"/>
        </w:rPr>
      </w:pPr>
      <w:r w:rsidRPr="00D443CB">
        <w:rPr>
          <w:rFonts w:ascii="Gill Sans MT" w:hAnsi="Gill Sans MT" w:cs="Calibri"/>
        </w:rPr>
        <w:t>Typically, PLs conduct microscopy and/or Xpert testing</w:t>
      </w:r>
      <w:r w:rsidR="00AB4341" w:rsidRPr="00D443CB">
        <w:rPr>
          <w:rFonts w:ascii="Gill Sans MT" w:hAnsi="Gill Sans MT" w:cs="Calibri"/>
        </w:rPr>
        <w:t>.</w:t>
      </w:r>
    </w:p>
    <w:p w14:paraId="6C465057" w14:textId="38680DF4" w:rsidR="00925C64" w:rsidRPr="00D443CB" w:rsidRDefault="00925C64" w:rsidP="00FC763C">
      <w:pPr>
        <w:pStyle w:val="ListParagraph"/>
        <w:widowControl w:val="0"/>
        <w:numPr>
          <w:ilvl w:val="1"/>
          <w:numId w:val="30"/>
        </w:numPr>
        <w:tabs>
          <w:tab w:val="left" w:pos="1080"/>
          <w:tab w:val="left" w:pos="1440"/>
        </w:tabs>
        <w:autoSpaceDE w:val="0"/>
        <w:autoSpaceDN w:val="0"/>
        <w:adjustRightInd w:val="0"/>
        <w:spacing w:after="0" w:line="240" w:lineRule="auto"/>
        <w:ind w:left="1382" w:hanging="230"/>
        <w:jc w:val="both"/>
        <w:rPr>
          <w:rFonts w:ascii="Gill Sans MT" w:hAnsi="Gill Sans MT" w:cstheme="minorHAnsi"/>
        </w:rPr>
      </w:pPr>
      <w:r w:rsidRPr="00D443CB">
        <w:rPr>
          <w:rFonts w:ascii="Gill Sans MT" w:hAnsi="Gill Sans MT" w:cstheme="minorHAnsi"/>
        </w:rPr>
        <w:t>H</w:t>
      </w:r>
      <w:r w:rsidR="00644C15" w:rsidRPr="00D443CB">
        <w:rPr>
          <w:rFonts w:ascii="Gill Sans MT" w:hAnsi="Gill Sans MT" w:cstheme="minorHAnsi"/>
        </w:rPr>
        <w:t>ealth c</w:t>
      </w:r>
      <w:r w:rsidRPr="00D443CB">
        <w:rPr>
          <w:rFonts w:ascii="Gill Sans MT" w:hAnsi="Gill Sans MT" w:cstheme="minorHAnsi"/>
        </w:rPr>
        <w:t>enter or facility</w:t>
      </w:r>
    </w:p>
    <w:p w14:paraId="35C2ACAF" w14:textId="1D988A18" w:rsidR="00845E87" w:rsidRPr="00D443CB" w:rsidRDefault="00845E87" w:rsidP="00FC763C">
      <w:pPr>
        <w:pStyle w:val="ListParagraph"/>
        <w:widowControl w:val="0"/>
        <w:numPr>
          <w:ilvl w:val="1"/>
          <w:numId w:val="30"/>
        </w:numPr>
        <w:tabs>
          <w:tab w:val="left" w:pos="1080"/>
          <w:tab w:val="left" w:pos="1440"/>
        </w:tabs>
        <w:autoSpaceDE w:val="0"/>
        <w:autoSpaceDN w:val="0"/>
        <w:adjustRightInd w:val="0"/>
        <w:spacing w:after="0" w:line="240" w:lineRule="auto"/>
        <w:ind w:left="1670" w:hanging="230"/>
        <w:jc w:val="both"/>
        <w:rPr>
          <w:rFonts w:ascii="Gill Sans MT" w:hAnsi="Gill Sans MT" w:cstheme="minorHAnsi"/>
        </w:rPr>
      </w:pPr>
      <w:r w:rsidRPr="00D443CB">
        <w:rPr>
          <w:rFonts w:ascii="Gill Sans MT" w:hAnsi="Gill Sans MT" w:cstheme="minorHAnsi"/>
        </w:rPr>
        <w:t>Typically, health centers are responsible for screening patients to identify those need</w:t>
      </w:r>
      <w:r w:rsidR="00AB4341" w:rsidRPr="00D443CB">
        <w:rPr>
          <w:rFonts w:ascii="Gill Sans MT" w:hAnsi="Gill Sans MT" w:cstheme="minorHAnsi"/>
        </w:rPr>
        <w:t>ing</w:t>
      </w:r>
      <w:r w:rsidRPr="00D443CB">
        <w:rPr>
          <w:rFonts w:ascii="Gill Sans MT" w:hAnsi="Gill Sans MT" w:cstheme="minorHAnsi"/>
        </w:rPr>
        <w:t xml:space="preserve"> TB testing, ordering testing</w:t>
      </w:r>
      <w:r w:rsidR="00AB4341" w:rsidRPr="00D443CB">
        <w:rPr>
          <w:rFonts w:ascii="Gill Sans MT" w:hAnsi="Gill Sans MT" w:cstheme="minorHAnsi"/>
        </w:rPr>
        <w:t xml:space="preserve"> and either</w:t>
      </w:r>
      <w:r w:rsidRPr="00D443CB">
        <w:rPr>
          <w:rFonts w:ascii="Gill Sans MT" w:hAnsi="Gill Sans MT" w:cstheme="minorHAnsi"/>
        </w:rPr>
        <w:t xml:space="preserve"> collecting </w:t>
      </w:r>
      <w:r w:rsidR="00AB4341" w:rsidRPr="00D443CB">
        <w:rPr>
          <w:rFonts w:ascii="Gill Sans MT" w:hAnsi="Gill Sans MT" w:cstheme="minorHAnsi"/>
        </w:rPr>
        <w:t xml:space="preserve">and transporting </w:t>
      </w:r>
      <w:r w:rsidRPr="00D443CB">
        <w:rPr>
          <w:rFonts w:ascii="Gill Sans MT" w:hAnsi="Gill Sans MT" w:cstheme="minorHAnsi"/>
        </w:rPr>
        <w:t>specimens to testing</w:t>
      </w:r>
      <w:r w:rsidR="00AB4341" w:rsidRPr="00D443CB">
        <w:rPr>
          <w:rFonts w:ascii="Gill Sans MT" w:hAnsi="Gill Sans MT" w:cstheme="minorHAnsi"/>
        </w:rPr>
        <w:t xml:space="preserve"> </w:t>
      </w:r>
      <w:r w:rsidRPr="00D443CB">
        <w:rPr>
          <w:rFonts w:ascii="Gill Sans MT" w:hAnsi="Gill Sans MT" w:cstheme="minorHAnsi"/>
        </w:rPr>
        <w:t>laboratory</w:t>
      </w:r>
      <w:r w:rsidR="00AB4341" w:rsidRPr="00D443CB">
        <w:rPr>
          <w:rFonts w:ascii="Gill Sans MT" w:hAnsi="Gill Sans MT" w:cstheme="minorHAnsi"/>
        </w:rPr>
        <w:t xml:space="preserve"> or referring patients to a testing site</w:t>
      </w:r>
      <w:r w:rsidRPr="00D443CB">
        <w:rPr>
          <w:rFonts w:ascii="Gill Sans MT" w:hAnsi="Gill Sans MT" w:cstheme="minorHAnsi"/>
        </w:rPr>
        <w:t>. Health centers may also be responsible for treatment and care of TB patients. Health facilities may be co-located with TB laboratories</w:t>
      </w:r>
      <w:r w:rsidR="00AB4341" w:rsidRPr="00D443CB">
        <w:rPr>
          <w:rFonts w:ascii="Gill Sans MT" w:hAnsi="Gill Sans MT" w:cstheme="minorHAnsi"/>
        </w:rPr>
        <w:t>.</w:t>
      </w:r>
    </w:p>
    <w:p w14:paraId="170FE698" w14:textId="7875FF63" w:rsidR="00845E87" w:rsidRPr="00D443CB" w:rsidRDefault="00845E87" w:rsidP="00FC763C">
      <w:pPr>
        <w:pStyle w:val="ListParagraph"/>
        <w:widowControl w:val="0"/>
        <w:numPr>
          <w:ilvl w:val="1"/>
          <w:numId w:val="30"/>
        </w:numPr>
        <w:tabs>
          <w:tab w:val="left" w:pos="1080"/>
          <w:tab w:val="left" w:pos="1440"/>
        </w:tabs>
        <w:autoSpaceDE w:val="0"/>
        <w:autoSpaceDN w:val="0"/>
        <w:adjustRightInd w:val="0"/>
        <w:spacing w:after="0" w:line="240" w:lineRule="auto"/>
        <w:ind w:left="1382" w:hanging="230"/>
        <w:jc w:val="both"/>
        <w:rPr>
          <w:rFonts w:ascii="Gill Sans MT" w:hAnsi="Gill Sans MT" w:cstheme="minorHAnsi"/>
        </w:rPr>
      </w:pPr>
      <w:r w:rsidRPr="00D443CB">
        <w:rPr>
          <w:rFonts w:ascii="Gill Sans MT" w:hAnsi="Gill Sans MT" w:cstheme="minorHAnsi"/>
        </w:rPr>
        <w:t>Community</w:t>
      </w:r>
      <w:r w:rsidRPr="00D443CB">
        <w:rPr>
          <w:rFonts w:ascii="Gill Sans MT" w:hAnsi="Gill Sans MT" w:cs="Calibri"/>
        </w:rPr>
        <w:t xml:space="preserve"> level</w:t>
      </w:r>
    </w:p>
    <w:p w14:paraId="61D372CC" w14:textId="2CDCDB1A" w:rsidR="00845E87" w:rsidRPr="00D443CB" w:rsidRDefault="00845E87" w:rsidP="00FC763C">
      <w:pPr>
        <w:pStyle w:val="ListParagraph"/>
        <w:widowControl w:val="0"/>
        <w:numPr>
          <w:ilvl w:val="1"/>
          <w:numId w:val="30"/>
        </w:numPr>
        <w:tabs>
          <w:tab w:val="left" w:pos="1080"/>
          <w:tab w:val="left" w:pos="1440"/>
        </w:tabs>
        <w:autoSpaceDE w:val="0"/>
        <w:autoSpaceDN w:val="0"/>
        <w:adjustRightInd w:val="0"/>
        <w:spacing w:after="0" w:line="240" w:lineRule="auto"/>
        <w:ind w:left="1670" w:hanging="230"/>
        <w:jc w:val="both"/>
        <w:rPr>
          <w:rFonts w:ascii="Gill Sans MT" w:hAnsi="Gill Sans MT" w:cstheme="minorHAnsi"/>
        </w:rPr>
      </w:pPr>
      <w:r w:rsidRPr="00D443CB">
        <w:rPr>
          <w:rFonts w:ascii="Gill Sans MT" w:hAnsi="Gill Sans MT" w:cstheme="minorHAnsi"/>
        </w:rPr>
        <w:t xml:space="preserve">Community health workers may screen patients to identify those needing TB testing and refer presumptive TB patients to a diagnostic center, or preferably, collect specimens and transport </w:t>
      </w:r>
      <w:r w:rsidR="00C82BEB" w:rsidRPr="00D443CB">
        <w:rPr>
          <w:rFonts w:ascii="Gill Sans MT" w:hAnsi="Gill Sans MT" w:cstheme="minorHAnsi"/>
        </w:rPr>
        <w:t>specimens</w:t>
      </w:r>
      <w:r w:rsidR="00AB4341" w:rsidRPr="00D443CB">
        <w:rPr>
          <w:rFonts w:ascii="Gill Sans MT" w:hAnsi="Gill Sans MT" w:cstheme="minorHAnsi"/>
        </w:rPr>
        <w:t xml:space="preserve"> </w:t>
      </w:r>
      <w:r w:rsidRPr="00D443CB">
        <w:rPr>
          <w:rFonts w:ascii="Gill Sans MT" w:hAnsi="Gill Sans MT" w:cstheme="minorHAnsi"/>
        </w:rPr>
        <w:t>to a testing laboratory</w:t>
      </w:r>
      <w:r w:rsidR="00AB4341" w:rsidRPr="00D443CB">
        <w:rPr>
          <w:rFonts w:ascii="Gill Sans MT" w:hAnsi="Gill Sans MT" w:cstheme="minorHAnsi"/>
        </w:rPr>
        <w:t>.</w:t>
      </w:r>
    </w:p>
    <w:p w14:paraId="4393C181" w14:textId="76605333" w:rsidR="00987C99" w:rsidRPr="00D443CB" w:rsidRDefault="00D81B9C" w:rsidP="00FC763C">
      <w:pPr>
        <w:pStyle w:val="ListParagraph"/>
        <w:widowControl w:val="0"/>
        <w:numPr>
          <w:ilvl w:val="0"/>
          <w:numId w:val="30"/>
        </w:numPr>
        <w:tabs>
          <w:tab w:val="left" w:pos="1080"/>
          <w:tab w:val="left" w:pos="1440"/>
        </w:tabs>
        <w:autoSpaceDE w:val="0"/>
        <w:autoSpaceDN w:val="0"/>
        <w:adjustRightInd w:val="0"/>
        <w:spacing w:after="0" w:line="240" w:lineRule="auto"/>
        <w:ind w:left="1094" w:hanging="230"/>
        <w:jc w:val="both"/>
        <w:rPr>
          <w:rFonts w:ascii="Gill Sans MT" w:hAnsi="Gill Sans MT" w:cstheme="minorHAnsi"/>
        </w:rPr>
      </w:pPr>
      <w:r w:rsidRPr="00D443CB">
        <w:rPr>
          <w:rFonts w:ascii="Gill Sans MT" w:hAnsi="Gill Sans MT" w:cstheme="minorHAnsi"/>
        </w:rPr>
        <w:t xml:space="preserve">One approach is to </w:t>
      </w:r>
      <w:r w:rsidR="00AB4341" w:rsidRPr="00D443CB">
        <w:rPr>
          <w:rFonts w:ascii="Gill Sans MT" w:hAnsi="Gill Sans MT" w:cstheme="minorHAnsi"/>
        </w:rPr>
        <w:t xml:space="preserve">selecting facilities to visit is to </w:t>
      </w:r>
      <w:r w:rsidRPr="00D443CB">
        <w:rPr>
          <w:rFonts w:ascii="Gill Sans MT" w:hAnsi="Gill Sans MT" w:cstheme="minorHAnsi"/>
        </w:rPr>
        <w:t xml:space="preserve">select randomly </w:t>
      </w:r>
      <w:r w:rsidR="00AB4341" w:rsidRPr="00D443CB">
        <w:rPr>
          <w:rFonts w:ascii="Gill Sans MT" w:hAnsi="Gill Sans MT" w:cstheme="minorHAnsi"/>
        </w:rPr>
        <w:t xml:space="preserve">one or two </w:t>
      </w:r>
      <w:r w:rsidRPr="00D443CB">
        <w:rPr>
          <w:rFonts w:ascii="Gill Sans MT" w:hAnsi="Gill Sans MT" w:cstheme="minorHAnsi"/>
        </w:rPr>
        <w:t>district</w:t>
      </w:r>
      <w:r w:rsidR="00987C99" w:rsidRPr="00D443CB">
        <w:rPr>
          <w:rFonts w:ascii="Gill Sans MT" w:hAnsi="Gill Sans MT" w:cstheme="minorHAnsi"/>
        </w:rPr>
        <w:t>s</w:t>
      </w:r>
      <w:r w:rsidRPr="00D443CB">
        <w:rPr>
          <w:rFonts w:ascii="Gill Sans MT" w:hAnsi="Gill Sans MT" w:cstheme="minorHAnsi"/>
        </w:rPr>
        <w:t xml:space="preserve"> in the region and conduct verification visits to the responsible intermediate laboratory and to </w:t>
      </w:r>
      <w:r w:rsidR="000625CE" w:rsidRPr="00D443CB">
        <w:rPr>
          <w:rFonts w:ascii="Gill Sans MT" w:hAnsi="Gill Sans MT" w:cstheme="minorHAnsi"/>
        </w:rPr>
        <w:t>two to four peripheral laboratories or health facilities in the district.</w:t>
      </w:r>
      <w:r w:rsidRPr="00D443CB">
        <w:rPr>
          <w:rFonts w:ascii="Gill Sans MT" w:hAnsi="Gill Sans MT" w:cstheme="minorHAnsi"/>
        </w:rPr>
        <w:t xml:space="preserve"> </w:t>
      </w:r>
    </w:p>
    <w:p w14:paraId="10F1A01B" w14:textId="2C1AFEAA" w:rsidR="00925C64" w:rsidRPr="00D443CB" w:rsidRDefault="00957B27" w:rsidP="00FC763C">
      <w:pPr>
        <w:pStyle w:val="ListParagraph"/>
        <w:widowControl w:val="0"/>
        <w:numPr>
          <w:ilvl w:val="1"/>
          <w:numId w:val="30"/>
        </w:numPr>
        <w:tabs>
          <w:tab w:val="left" w:pos="1080"/>
          <w:tab w:val="left" w:pos="1440"/>
        </w:tabs>
        <w:autoSpaceDE w:val="0"/>
        <w:autoSpaceDN w:val="0"/>
        <w:adjustRightInd w:val="0"/>
        <w:spacing w:after="0" w:line="240" w:lineRule="auto"/>
        <w:ind w:left="1382" w:hanging="230"/>
        <w:jc w:val="both"/>
        <w:rPr>
          <w:rFonts w:ascii="Gill Sans MT" w:hAnsi="Gill Sans MT" w:cstheme="minorHAnsi"/>
        </w:rPr>
      </w:pPr>
      <w:r w:rsidRPr="00D443CB">
        <w:rPr>
          <w:rFonts w:ascii="Gill Sans MT" w:hAnsi="Gill Sans MT" w:cstheme="minorHAnsi"/>
        </w:rPr>
        <w:t>Usually</w:t>
      </w:r>
      <w:r w:rsidR="000625CE" w:rsidRPr="00D443CB">
        <w:rPr>
          <w:rFonts w:ascii="Gill Sans MT" w:hAnsi="Gill Sans MT" w:cstheme="minorHAnsi"/>
        </w:rPr>
        <w:t xml:space="preserve">, verification visits last </w:t>
      </w:r>
      <w:r w:rsidR="007D3C8B" w:rsidRPr="00D443CB">
        <w:rPr>
          <w:rFonts w:ascii="Gill Sans MT" w:hAnsi="Gill Sans MT" w:cs="Calibri"/>
        </w:rPr>
        <w:t xml:space="preserve">1–3 </w:t>
      </w:r>
      <w:r w:rsidR="000625CE" w:rsidRPr="00D443CB">
        <w:rPr>
          <w:rFonts w:ascii="Gill Sans MT" w:hAnsi="Gill Sans MT" w:cstheme="minorHAnsi"/>
        </w:rPr>
        <w:t>hours</w:t>
      </w:r>
      <w:r w:rsidR="007D3C8B" w:rsidRPr="00D443CB">
        <w:rPr>
          <w:rFonts w:ascii="Gill Sans MT" w:hAnsi="Gill Sans MT" w:cstheme="minorHAnsi"/>
        </w:rPr>
        <w:t xml:space="preserve"> depending on the facility</w:t>
      </w:r>
      <w:r w:rsidR="000625CE" w:rsidRPr="00D443CB">
        <w:rPr>
          <w:rFonts w:ascii="Gill Sans MT" w:hAnsi="Gill Sans MT" w:cstheme="minorHAnsi"/>
        </w:rPr>
        <w:t xml:space="preserve">. Depending on travel requirements, </w:t>
      </w:r>
      <w:r w:rsidR="00987C99" w:rsidRPr="00D443CB">
        <w:rPr>
          <w:rFonts w:ascii="Gill Sans MT" w:hAnsi="Gill Sans MT" w:cstheme="minorHAnsi"/>
        </w:rPr>
        <w:t xml:space="preserve">an assessment team </w:t>
      </w:r>
      <w:r w:rsidR="007D3C8B" w:rsidRPr="00D443CB">
        <w:rPr>
          <w:rFonts w:ascii="Gill Sans MT" w:hAnsi="Gill Sans MT" w:cs="Calibri"/>
        </w:rPr>
        <w:t xml:space="preserve">should be scheduled to </w:t>
      </w:r>
      <w:r w:rsidR="00993CCC" w:rsidRPr="00D443CB">
        <w:rPr>
          <w:rFonts w:ascii="Gill Sans MT" w:hAnsi="Gill Sans MT" w:cs="Calibri"/>
        </w:rPr>
        <w:t xml:space="preserve">conduct three to four verification visits or interviews </w:t>
      </w:r>
      <w:r w:rsidR="000625CE" w:rsidRPr="00D443CB">
        <w:rPr>
          <w:rFonts w:ascii="Gill Sans MT" w:hAnsi="Gill Sans MT" w:cstheme="minorHAnsi"/>
        </w:rPr>
        <w:t>in one workday.</w:t>
      </w:r>
      <w:r w:rsidR="00AB4341" w:rsidRPr="00D443CB">
        <w:rPr>
          <w:rFonts w:ascii="Gill Sans MT" w:hAnsi="Gill Sans MT" w:cstheme="minorHAnsi"/>
        </w:rPr>
        <w:t xml:space="preserve"> </w:t>
      </w:r>
      <w:r w:rsidR="00AB4341" w:rsidRPr="00D443CB">
        <w:rPr>
          <w:rFonts w:ascii="Gill Sans MT" w:hAnsi="Gill Sans MT" w:cs="Calibri"/>
        </w:rPr>
        <w:t xml:space="preserve">See Annex </w:t>
      </w:r>
      <w:r w:rsidR="00CC77C2" w:rsidRPr="00D443CB">
        <w:rPr>
          <w:rFonts w:ascii="Gill Sans MT" w:hAnsi="Gill Sans MT" w:cs="Calibri"/>
        </w:rPr>
        <w:t>10</w:t>
      </w:r>
      <w:r w:rsidR="00AB4341" w:rsidRPr="00D443CB">
        <w:rPr>
          <w:rFonts w:ascii="Gill Sans MT" w:hAnsi="Gill Sans MT" w:cs="Calibri"/>
        </w:rPr>
        <w:t xml:space="preserve"> for an example of a schedule</w:t>
      </w:r>
      <w:r w:rsidR="00855F2B" w:rsidRPr="00D443CB">
        <w:rPr>
          <w:rFonts w:ascii="Gill Sans MT" w:hAnsi="Gill Sans MT" w:cs="Calibri"/>
        </w:rPr>
        <w:t>.</w:t>
      </w:r>
    </w:p>
    <w:p w14:paraId="69F8976A" w14:textId="0CA27156" w:rsidR="00987C99" w:rsidRPr="00D443CB" w:rsidRDefault="00987C99" w:rsidP="00FC763C">
      <w:pPr>
        <w:pStyle w:val="ListParagraph"/>
        <w:widowControl w:val="0"/>
        <w:numPr>
          <w:ilvl w:val="1"/>
          <w:numId w:val="30"/>
        </w:numPr>
        <w:tabs>
          <w:tab w:val="left" w:pos="1080"/>
          <w:tab w:val="left" w:pos="1440"/>
        </w:tabs>
        <w:autoSpaceDE w:val="0"/>
        <w:autoSpaceDN w:val="0"/>
        <w:adjustRightInd w:val="0"/>
        <w:spacing w:after="0" w:line="240" w:lineRule="auto"/>
        <w:ind w:left="1382" w:hanging="230"/>
        <w:jc w:val="both"/>
        <w:rPr>
          <w:rFonts w:ascii="Gill Sans MT" w:hAnsi="Gill Sans MT" w:cstheme="minorHAnsi"/>
        </w:rPr>
      </w:pPr>
      <w:r w:rsidRPr="00D443CB">
        <w:rPr>
          <w:rFonts w:ascii="Gill Sans MT" w:hAnsi="Gill Sans MT" w:cstheme="minorHAnsi"/>
        </w:rPr>
        <w:t>Include at least one testing site in the assessed region from the private sector or non-governmental sector (</w:t>
      </w:r>
      <w:r w:rsidR="006574D2" w:rsidRPr="00D443CB">
        <w:rPr>
          <w:rFonts w:ascii="Gill Sans MT" w:hAnsi="Gill Sans MT" w:cstheme="minorHAnsi"/>
        </w:rPr>
        <w:t>e.g.</w:t>
      </w:r>
      <w:r w:rsidRPr="00D443CB">
        <w:rPr>
          <w:rFonts w:ascii="Gill Sans MT" w:hAnsi="Gill Sans MT" w:cstheme="minorHAnsi"/>
        </w:rPr>
        <w:t>, from an NGO or implementing partner) even if they are not contained in the selected district(s).</w:t>
      </w:r>
    </w:p>
    <w:p w14:paraId="4579D3C6" w14:textId="5B2E4C37" w:rsidR="00D531BF" w:rsidRPr="00D443CB" w:rsidRDefault="006E4773" w:rsidP="00FC763C">
      <w:pPr>
        <w:pStyle w:val="ListParagraph"/>
        <w:widowControl w:val="0"/>
        <w:numPr>
          <w:ilvl w:val="0"/>
          <w:numId w:val="29"/>
        </w:numPr>
        <w:tabs>
          <w:tab w:val="left" w:pos="1080"/>
          <w:tab w:val="left" w:pos="1440"/>
        </w:tabs>
        <w:autoSpaceDE w:val="0"/>
        <w:autoSpaceDN w:val="0"/>
        <w:adjustRightInd w:val="0"/>
        <w:spacing w:after="0" w:line="240" w:lineRule="auto"/>
        <w:ind w:left="1094" w:hanging="230"/>
        <w:jc w:val="both"/>
        <w:rPr>
          <w:rFonts w:ascii="Gill Sans MT" w:hAnsi="Gill Sans MT" w:cstheme="minorHAnsi"/>
        </w:rPr>
      </w:pPr>
      <w:r w:rsidRPr="00D443CB">
        <w:rPr>
          <w:rFonts w:ascii="Gill Sans MT" w:hAnsi="Gill Sans MT" w:cstheme="minorHAnsi"/>
        </w:rPr>
        <w:t xml:space="preserve">In addition to </w:t>
      </w:r>
      <w:r w:rsidR="007D3C8B" w:rsidRPr="00D443CB">
        <w:rPr>
          <w:rFonts w:ascii="Gill Sans MT" w:hAnsi="Gill Sans MT" w:cstheme="minorHAnsi"/>
        </w:rPr>
        <w:t>diagnostic</w:t>
      </w:r>
      <w:r w:rsidRPr="00D443CB">
        <w:rPr>
          <w:rFonts w:ascii="Gill Sans MT" w:hAnsi="Gill Sans MT" w:cstheme="minorHAnsi"/>
        </w:rPr>
        <w:t xml:space="preserve"> facilities, </w:t>
      </w:r>
      <w:r w:rsidR="006C179A" w:rsidRPr="00D443CB">
        <w:rPr>
          <w:rFonts w:ascii="Gill Sans MT" w:hAnsi="Gill Sans MT" w:cstheme="minorHAnsi"/>
        </w:rPr>
        <w:t xml:space="preserve">interviews </w:t>
      </w:r>
      <w:r w:rsidRPr="00D443CB">
        <w:rPr>
          <w:rFonts w:ascii="Gill Sans MT" w:hAnsi="Gill Sans MT" w:cstheme="minorHAnsi"/>
        </w:rPr>
        <w:t xml:space="preserve">should </w:t>
      </w:r>
      <w:r w:rsidR="006C179A" w:rsidRPr="00D443CB">
        <w:rPr>
          <w:rFonts w:ascii="Gill Sans MT" w:hAnsi="Gill Sans MT" w:cstheme="minorHAnsi"/>
        </w:rPr>
        <w:t xml:space="preserve">be scheduled </w:t>
      </w:r>
      <w:r w:rsidRPr="00D443CB">
        <w:rPr>
          <w:rFonts w:ascii="Gill Sans MT" w:hAnsi="Gill Sans MT" w:cstheme="minorHAnsi"/>
        </w:rPr>
        <w:t xml:space="preserve">with </w:t>
      </w:r>
      <w:r w:rsidR="00AB4341" w:rsidRPr="00D443CB">
        <w:rPr>
          <w:rFonts w:ascii="Gill Sans MT" w:hAnsi="Gill Sans MT" w:cstheme="minorHAnsi"/>
        </w:rPr>
        <w:t xml:space="preserve">the </w:t>
      </w:r>
      <w:r w:rsidRPr="00D443CB">
        <w:rPr>
          <w:rFonts w:ascii="Gill Sans MT" w:hAnsi="Gill Sans MT" w:cstheme="minorHAnsi"/>
        </w:rPr>
        <w:t>program (e.g., District TB Officer)</w:t>
      </w:r>
      <w:r w:rsidR="006C179A" w:rsidRPr="00D443CB">
        <w:rPr>
          <w:rFonts w:ascii="Gill Sans MT" w:hAnsi="Gill Sans MT" w:cstheme="minorHAnsi"/>
        </w:rPr>
        <w:t>, District or Regional Laboratory Supervisor</w:t>
      </w:r>
      <w:r w:rsidR="00AB4341" w:rsidRPr="00D443CB">
        <w:rPr>
          <w:rFonts w:ascii="Gill Sans MT" w:hAnsi="Gill Sans MT" w:cstheme="minorHAnsi"/>
        </w:rPr>
        <w:t>, community health workers</w:t>
      </w:r>
      <w:r w:rsidRPr="00D443CB">
        <w:rPr>
          <w:rFonts w:ascii="Gill Sans MT" w:hAnsi="Gill Sans MT" w:cstheme="minorHAnsi"/>
        </w:rPr>
        <w:t xml:space="preserve"> and clinical staff (e.g., District Health Officer</w:t>
      </w:r>
      <w:r w:rsidR="00D531BF" w:rsidRPr="00D443CB">
        <w:rPr>
          <w:rFonts w:ascii="Gill Sans MT" w:hAnsi="Gill Sans MT" w:cstheme="minorHAnsi"/>
        </w:rPr>
        <w:t>,</w:t>
      </w:r>
      <w:r w:rsidRPr="00D443CB">
        <w:rPr>
          <w:rFonts w:ascii="Gill Sans MT" w:hAnsi="Gill Sans MT" w:cstheme="minorHAnsi"/>
        </w:rPr>
        <w:t xml:space="preserve"> MDR-TB Focal person</w:t>
      </w:r>
      <w:r w:rsidR="0085290A" w:rsidRPr="00D443CB">
        <w:rPr>
          <w:rFonts w:ascii="Gill Sans MT" w:hAnsi="Gill Sans MT" w:cstheme="minorHAnsi"/>
        </w:rPr>
        <w:t xml:space="preserve">, </w:t>
      </w:r>
      <w:r w:rsidR="00D531BF" w:rsidRPr="00D443CB">
        <w:rPr>
          <w:rFonts w:ascii="Gill Sans MT" w:hAnsi="Gill Sans MT" w:cstheme="minorHAnsi"/>
        </w:rPr>
        <w:t>clinicians)</w:t>
      </w:r>
      <w:r w:rsidR="00B848D5" w:rsidRPr="00D443CB">
        <w:rPr>
          <w:rFonts w:ascii="Gill Sans MT" w:hAnsi="Gill Sans MT" w:cstheme="minorHAnsi"/>
        </w:rPr>
        <w:t>.</w:t>
      </w:r>
      <w:r w:rsidR="00D531BF" w:rsidRPr="00D443CB">
        <w:rPr>
          <w:rFonts w:ascii="Gill Sans MT" w:hAnsi="Gill Sans MT" w:cstheme="minorHAnsi"/>
        </w:rPr>
        <w:t xml:space="preserve"> </w:t>
      </w:r>
    </w:p>
    <w:p w14:paraId="75BBCB51" w14:textId="48E3FCF2" w:rsidR="006E4773" w:rsidRPr="00D443CB" w:rsidRDefault="00D531BF" w:rsidP="00FC763C">
      <w:pPr>
        <w:pStyle w:val="ListParagraph"/>
        <w:widowControl w:val="0"/>
        <w:numPr>
          <w:ilvl w:val="0"/>
          <w:numId w:val="29"/>
        </w:numPr>
        <w:tabs>
          <w:tab w:val="left" w:pos="1080"/>
          <w:tab w:val="left" w:pos="1440"/>
        </w:tabs>
        <w:autoSpaceDE w:val="0"/>
        <w:autoSpaceDN w:val="0"/>
        <w:adjustRightInd w:val="0"/>
        <w:spacing w:after="0" w:line="240" w:lineRule="auto"/>
        <w:ind w:left="1094" w:hanging="230"/>
        <w:jc w:val="both"/>
        <w:rPr>
          <w:rFonts w:ascii="Gill Sans MT" w:hAnsi="Gill Sans MT" w:cstheme="minorHAnsi"/>
        </w:rPr>
      </w:pPr>
      <w:r w:rsidRPr="00D443CB">
        <w:rPr>
          <w:rFonts w:ascii="Gill Sans MT" w:hAnsi="Gill Sans MT" w:cstheme="minorHAnsi"/>
        </w:rPr>
        <w:t>For Districts or regions concerned with TB/HIV, visits to the District or Region</w:t>
      </w:r>
      <w:r w:rsidR="00AB4341" w:rsidRPr="00D443CB">
        <w:rPr>
          <w:rFonts w:ascii="Gill Sans MT" w:hAnsi="Gill Sans MT" w:cstheme="minorHAnsi"/>
        </w:rPr>
        <w:t>al</w:t>
      </w:r>
      <w:r w:rsidRPr="00D443CB">
        <w:rPr>
          <w:rFonts w:ascii="Gill Sans MT" w:hAnsi="Gill Sans MT" w:cstheme="minorHAnsi"/>
        </w:rPr>
        <w:t xml:space="preserve"> HIV Officer and HIV clinics should be </w:t>
      </w:r>
      <w:r w:rsidR="006C179A" w:rsidRPr="00D443CB">
        <w:rPr>
          <w:rFonts w:ascii="Gill Sans MT" w:hAnsi="Gill Sans MT" w:cstheme="minorHAnsi"/>
        </w:rPr>
        <w:t>scheduled</w:t>
      </w:r>
      <w:r w:rsidRPr="00D443CB">
        <w:rPr>
          <w:rFonts w:ascii="Gill Sans MT" w:hAnsi="Gill Sans MT" w:cstheme="minorHAnsi"/>
        </w:rPr>
        <w:t>.</w:t>
      </w:r>
    </w:p>
    <w:p w14:paraId="137D9DBC" w14:textId="7BF8DA64" w:rsidR="002820E9" w:rsidRPr="00D443CB" w:rsidRDefault="002820E9"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T</w:t>
      </w:r>
      <w:r w:rsidR="009A2E5D" w:rsidRPr="00D443CB">
        <w:rPr>
          <w:rFonts w:ascii="Gill Sans MT" w:hAnsi="Gill Sans MT" w:cstheme="minorHAnsi"/>
        </w:rPr>
        <w:t>he MoH/NTP team will identify Mo</w:t>
      </w:r>
      <w:r w:rsidRPr="00D443CB">
        <w:rPr>
          <w:rFonts w:ascii="Gill Sans MT" w:hAnsi="Gill Sans MT" w:cstheme="minorHAnsi"/>
        </w:rPr>
        <w:t>H and NTP staff and in-country personnel who will participate in the verification visits.</w:t>
      </w:r>
    </w:p>
    <w:p w14:paraId="6B5FE586" w14:textId="7BD50D2E" w:rsidR="00FF1935" w:rsidRPr="00D443CB" w:rsidRDefault="00FF1935"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 xml:space="preserve">The </w:t>
      </w:r>
      <w:r w:rsidR="00E00815" w:rsidRPr="00D443CB">
        <w:rPr>
          <w:rFonts w:ascii="Gill Sans MT" w:hAnsi="Gill Sans MT" w:cstheme="minorHAnsi"/>
        </w:rPr>
        <w:t>MoH/</w:t>
      </w:r>
      <w:r w:rsidR="008647AA" w:rsidRPr="00D443CB">
        <w:rPr>
          <w:rFonts w:ascii="Gill Sans MT" w:hAnsi="Gill Sans MT" w:cstheme="minorHAnsi"/>
        </w:rPr>
        <w:t>NTP</w:t>
      </w:r>
      <w:r w:rsidRPr="00D443CB">
        <w:rPr>
          <w:rFonts w:ascii="Gill Sans MT" w:hAnsi="Gill Sans MT" w:cstheme="minorHAnsi"/>
        </w:rPr>
        <w:t xml:space="preserve"> focal person </w:t>
      </w:r>
      <w:r w:rsidR="002F05B9" w:rsidRPr="00D443CB">
        <w:rPr>
          <w:rFonts w:ascii="Gill Sans MT" w:hAnsi="Gill Sans MT" w:cstheme="minorHAnsi"/>
        </w:rPr>
        <w:t>will inform</w:t>
      </w:r>
      <w:r w:rsidRPr="00D443CB">
        <w:rPr>
          <w:rFonts w:ascii="Gill Sans MT" w:hAnsi="Gill Sans MT" w:cstheme="minorHAnsi"/>
        </w:rPr>
        <w:t xml:space="preserve"> the</w:t>
      </w:r>
      <w:r w:rsidR="00710169" w:rsidRPr="00D443CB">
        <w:rPr>
          <w:rFonts w:ascii="Gill Sans MT" w:hAnsi="Gill Sans MT" w:cstheme="minorHAnsi"/>
        </w:rPr>
        <w:t xml:space="preserve"> District or Regional Program staff, </w:t>
      </w:r>
      <w:r w:rsidRPr="00D443CB">
        <w:rPr>
          <w:rFonts w:ascii="Gill Sans MT" w:hAnsi="Gill Sans MT" w:cstheme="minorHAnsi"/>
        </w:rPr>
        <w:t>head of the facility</w:t>
      </w:r>
      <w:r w:rsidR="00710169" w:rsidRPr="00D443CB">
        <w:rPr>
          <w:rFonts w:ascii="Gill Sans MT" w:hAnsi="Gill Sans MT" w:cstheme="minorHAnsi"/>
        </w:rPr>
        <w:t xml:space="preserve"> to be visited, </w:t>
      </w:r>
      <w:r w:rsidR="002F05B9" w:rsidRPr="00D443CB">
        <w:rPr>
          <w:rFonts w:ascii="Gill Sans MT" w:hAnsi="Gill Sans MT" w:cstheme="minorHAnsi"/>
        </w:rPr>
        <w:t xml:space="preserve">staff of the </w:t>
      </w:r>
      <w:r w:rsidR="00524D28" w:rsidRPr="00D443CB">
        <w:rPr>
          <w:rFonts w:ascii="Gill Sans MT" w:hAnsi="Gill Sans MT" w:cstheme="minorHAnsi"/>
        </w:rPr>
        <w:t>laboratory</w:t>
      </w:r>
      <w:r w:rsidR="00710169" w:rsidRPr="00D443CB">
        <w:rPr>
          <w:rFonts w:ascii="Gill Sans MT" w:hAnsi="Gill Sans MT" w:cstheme="minorHAnsi"/>
        </w:rPr>
        <w:t xml:space="preserve"> or person to be interviewed</w:t>
      </w:r>
      <w:r w:rsidR="00DC3D0B" w:rsidRPr="00D443CB">
        <w:rPr>
          <w:rFonts w:ascii="Gill Sans MT" w:hAnsi="Gill Sans MT" w:cstheme="minorHAnsi"/>
        </w:rPr>
        <w:t xml:space="preserve"> </w:t>
      </w:r>
      <w:r w:rsidR="00DC3D0B" w:rsidRPr="00D443CB">
        <w:rPr>
          <w:rFonts w:ascii="Gill Sans MT" w:hAnsi="Gill Sans MT" w:cstheme="minorHAnsi"/>
          <w:u w:val="single"/>
        </w:rPr>
        <w:t>well</w:t>
      </w:r>
      <w:r w:rsidRPr="00D443CB">
        <w:rPr>
          <w:rFonts w:ascii="Gill Sans MT" w:hAnsi="Gill Sans MT" w:cstheme="minorHAnsi"/>
          <w:u w:val="single"/>
        </w:rPr>
        <w:t xml:space="preserve"> </w:t>
      </w:r>
      <w:r w:rsidR="00DC3D0B" w:rsidRPr="00D443CB">
        <w:rPr>
          <w:rFonts w:ascii="Gill Sans MT" w:hAnsi="Gill Sans MT" w:cstheme="minorHAnsi"/>
          <w:u w:val="single"/>
        </w:rPr>
        <w:t>in advance</w:t>
      </w:r>
      <w:r w:rsidR="00DC3D0B" w:rsidRPr="00D443CB">
        <w:rPr>
          <w:rFonts w:ascii="Gill Sans MT" w:hAnsi="Gill Sans MT" w:cstheme="minorHAnsi"/>
        </w:rPr>
        <w:t xml:space="preserve"> </w:t>
      </w:r>
      <w:r w:rsidRPr="00D443CB">
        <w:rPr>
          <w:rFonts w:ascii="Gill Sans MT" w:hAnsi="Gill Sans MT" w:cstheme="minorHAnsi"/>
        </w:rPr>
        <w:t xml:space="preserve">of the upcoming verification visit. The </w:t>
      </w:r>
      <w:r w:rsidR="00C904C7" w:rsidRPr="00D443CB">
        <w:rPr>
          <w:rFonts w:ascii="Gill Sans MT" w:hAnsi="Gill Sans MT" w:cstheme="minorHAnsi"/>
        </w:rPr>
        <w:t xml:space="preserve">visit request </w:t>
      </w:r>
      <w:r w:rsidRPr="00D443CB">
        <w:rPr>
          <w:rFonts w:ascii="Gill Sans MT" w:hAnsi="Gill Sans MT" w:cstheme="minorHAnsi"/>
        </w:rPr>
        <w:t>letter should include:</w:t>
      </w:r>
    </w:p>
    <w:p w14:paraId="58F525D0" w14:textId="0082266B" w:rsidR="008647AA" w:rsidRPr="00D443CB" w:rsidRDefault="00FF1935" w:rsidP="008F79FE">
      <w:pPr>
        <w:pStyle w:val="ListParagraph"/>
        <w:widowControl w:val="0"/>
        <w:numPr>
          <w:ilvl w:val="1"/>
          <w:numId w:val="1"/>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 xml:space="preserve">Purpose of visit with short description of the </w:t>
      </w:r>
      <w:r w:rsidR="008647AA" w:rsidRPr="00D443CB">
        <w:rPr>
          <w:rFonts w:ascii="Gill Sans MT" w:hAnsi="Gill Sans MT" w:cstheme="minorHAnsi"/>
        </w:rPr>
        <w:t>assessment team and structure of the visit</w:t>
      </w:r>
    </w:p>
    <w:p w14:paraId="4FB87833" w14:textId="01C7A963" w:rsidR="00FF1935" w:rsidRPr="00D443CB" w:rsidRDefault="00FF1935" w:rsidP="008F79FE">
      <w:pPr>
        <w:pStyle w:val="ListParagraph"/>
        <w:widowControl w:val="0"/>
        <w:numPr>
          <w:ilvl w:val="1"/>
          <w:numId w:val="1"/>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Date, time and expected duration of the visit</w:t>
      </w:r>
    </w:p>
    <w:p w14:paraId="72E81BFC" w14:textId="4B9452FC" w:rsidR="00FF1935" w:rsidRPr="00D443CB" w:rsidRDefault="00FF1935" w:rsidP="008F79FE">
      <w:pPr>
        <w:pStyle w:val="ListParagraph"/>
        <w:widowControl w:val="0"/>
        <w:numPr>
          <w:ilvl w:val="1"/>
          <w:numId w:val="1"/>
        </w:numPr>
        <w:autoSpaceDE w:val="0"/>
        <w:autoSpaceDN w:val="0"/>
        <w:adjustRightInd w:val="0"/>
        <w:spacing w:after="0" w:line="240" w:lineRule="auto"/>
        <w:ind w:left="1440"/>
        <w:jc w:val="both"/>
        <w:rPr>
          <w:rFonts w:ascii="Gill Sans MT" w:hAnsi="Gill Sans MT" w:cstheme="minorHAnsi"/>
        </w:rPr>
      </w:pPr>
      <w:r w:rsidRPr="00D443CB">
        <w:rPr>
          <w:rFonts w:ascii="Gill Sans MT" w:hAnsi="Gill Sans MT" w:cstheme="minorHAnsi"/>
        </w:rPr>
        <w:t>Requested staff (</w:t>
      </w:r>
      <w:r w:rsidR="006574D2" w:rsidRPr="00D443CB">
        <w:rPr>
          <w:rFonts w:ascii="Gill Sans MT" w:hAnsi="Gill Sans MT" w:cstheme="minorHAnsi"/>
        </w:rPr>
        <w:t>e.g.</w:t>
      </w:r>
      <w:r w:rsidR="002F05B9" w:rsidRPr="00D443CB">
        <w:rPr>
          <w:rFonts w:ascii="Gill Sans MT" w:hAnsi="Gill Sans MT" w:cstheme="minorHAnsi"/>
        </w:rPr>
        <w:t>,</w:t>
      </w:r>
      <w:r w:rsidRPr="00D443CB">
        <w:rPr>
          <w:rFonts w:ascii="Gill Sans MT" w:hAnsi="Gill Sans MT" w:cstheme="minorHAnsi"/>
        </w:rPr>
        <w:t xml:space="preserve"> Laboratory Manager, Quality and Safety Officers, Procurement manager) and lab managerial documents such as </w:t>
      </w:r>
      <w:r w:rsidR="00213FEE" w:rsidRPr="00D443CB">
        <w:rPr>
          <w:rFonts w:ascii="Gill Sans MT" w:hAnsi="Gill Sans MT" w:cstheme="minorHAnsi"/>
        </w:rPr>
        <w:t xml:space="preserve">laboratory registers, </w:t>
      </w:r>
      <w:r w:rsidRPr="00D443CB">
        <w:rPr>
          <w:rFonts w:ascii="Gill Sans MT" w:hAnsi="Gill Sans MT" w:cstheme="minorHAnsi"/>
        </w:rPr>
        <w:t xml:space="preserve">sample </w:t>
      </w:r>
      <w:r w:rsidR="00E00815" w:rsidRPr="00D443CB">
        <w:rPr>
          <w:rFonts w:ascii="Gill Sans MT" w:hAnsi="Gill Sans MT" w:cstheme="minorHAnsi"/>
        </w:rPr>
        <w:t>j</w:t>
      </w:r>
      <w:r w:rsidRPr="00D443CB">
        <w:rPr>
          <w:rFonts w:ascii="Gill Sans MT" w:hAnsi="Gill Sans MT" w:cstheme="minorHAnsi"/>
        </w:rPr>
        <w:t xml:space="preserve">ob </w:t>
      </w:r>
      <w:r w:rsidR="002B309F" w:rsidRPr="00D443CB">
        <w:rPr>
          <w:rFonts w:ascii="Gill Sans MT" w:hAnsi="Gill Sans MT" w:cstheme="minorHAnsi"/>
        </w:rPr>
        <w:t>d</w:t>
      </w:r>
      <w:r w:rsidRPr="00D443CB">
        <w:rPr>
          <w:rFonts w:ascii="Gill Sans MT" w:hAnsi="Gill Sans MT" w:cstheme="minorHAnsi"/>
        </w:rPr>
        <w:t xml:space="preserve">escriptions, safety manual, </w:t>
      </w:r>
      <w:r w:rsidRPr="00D443CB">
        <w:rPr>
          <w:rFonts w:ascii="Gill Sans MT" w:hAnsi="Gill Sans MT" w:cstheme="minorHAnsi"/>
        </w:rPr>
        <w:lastRenderedPageBreak/>
        <w:t>quality manual, budget, work plan, etc. to be available</w:t>
      </w:r>
    </w:p>
    <w:p w14:paraId="726A753C" w14:textId="5F239F70" w:rsidR="009B4E42" w:rsidRPr="00D443CB" w:rsidRDefault="009B4E42" w:rsidP="008F79FE">
      <w:pPr>
        <w:widowControl w:val="0"/>
        <w:autoSpaceDE w:val="0"/>
        <w:autoSpaceDN w:val="0"/>
        <w:adjustRightInd w:val="0"/>
        <w:spacing w:after="0" w:line="240" w:lineRule="auto"/>
        <w:ind w:left="1080"/>
        <w:jc w:val="both"/>
        <w:rPr>
          <w:rFonts w:ascii="Gill Sans MT" w:hAnsi="Gill Sans MT" w:cstheme="minorHAnsi"/>
        </w:rPr>
      </w:pPr>
      <w:r w:rsidRPr="00D443CB">
        <w:rPr>
          <w:rFonts w:ascii="Gill Sans MT" w:hAnsi="Gill Sans MT" w:cstheme="minorHAnsi"/>
          <w:b/>
          <w:bCs/>
        </w:rPr>
        <w:t>Note</w:t>
      </w:r>
      <w:r w:rsidRPr="00D443CB">
        <w:rPr>
          <w:rFonts w:ascii="Gill Sans MT" w:hAnsi="Gill Sans MT" w:cstheme="minorHAnsi"/>
        </w:rPr>
        <w:t>: this is a verification visit and not a facility assessment and this should be emphasized in the visit request letter.</w:t>
      </w:r>
    </w:p>
    <w:p w14:paraId="415C2FE5" w14:textId="5F2A54B6" w:rsidR="000A63E4" w:rsidRPr="00D443CB" w:rsidRDefault="000A63E4" w:rsidP="00FC763C">
      <w:pPr>
        <w:pStyle w:val="ListParagraph"/>
        <w:widowControl w:val="0"/>
        <w:numPr>
          <w:ilvl w:val="0"/>
          <w:numId w:val="28"/>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 xml:space="preserve">The </w:t>
      </w:r>
      <w:r w:rsidR="00E00815" w:rsidRPr="00D443CB">
        <w:rPr>
          <w:rFonts w:ascii="Gill Sans MT" w:hAnsi="Gill Sans MT" w:cstheme="minorHAnsi"/>
        </w:rPr>
        <w:t>MoH/</w:t>
      </w:r>
      <w:r w:rsidRPr="00D443CB">
        <w:rPr>
          <w:rFonts w:ascii="Gill Sans MT" w:hAnsi="Gill Sans MT" w:cstheme="minorHAnsi"/>
        </w:rPr>
        <w:t xml:space="preserve">NTP focal person shall provide laboratory statistics reporting form (Annex </w:t>
      </w:r>
      <w:r w:rsidR="00AA25E2" w:rsidRPr="00D443CB">
        <w:rPr>
          <w:rFonts w:ascii="Gill Sans MT" w:hAnsi="Gill Sans MT" w:cstheme="minorHAnsi"/>
        </w:rPr>
        <w:t>5</w:t>
      </w:r>
      <w:r w:rsidRPr="00D443CB">
        <w:rPr>
          <w:rFonts w:ascii="Gill Sans MT" w:hAnsi="Gill Sans MT" w:cstheme="minorHAnsi"/>
        </w:rPr>
        <w:t>) to each laboratory to be visited and request that the form be completed and returned to the N</w:t>
      </w:r>
      <w:r w:rsidR="00F76784" w:rsidRPr="00D443CB">
        <w:rPr>
          <w:rFonts w:ascii="Gill Sans MT" w:hAnsi="Gill Sans MT" w:cstheme="minorHAnsi"/>
        </w:rPr>
        <w:t>TP focal point such that it can</w:t>
      </w:r>
      <w:r w:rsidRPr="00D443CB">
        <w:rPr>
          <w:rFonts w:ascii="Gill Sans MT" w:hAnsi="Gill Sans MT" w:cstheme="minorHAnsi"/>
        </w:rPr>
        <w:t xml:space="preserve"> be provided to the</w:t>
      </w:r>
      <w:r w:rsidR="007D2E70" w:rsidRPr="00D443CB">
        <w:rPr>
          <w:rFonts w:ascii="Gill Sans MT" w:hAnsi="Gill Sans MT" w:cstheme="minorHAnsi"/>
        </w:rPr>
        <w:t xml:space="preserve"> </w:t>
      </w:r>
      <w:r w:rsidR="00F12CD3" w:rsidRPr="00D443CB">
        <w:rPr>
          <w:rFonts w:ascii="Gill Sans MT" w:hAnsi="Gill Sans MT" w:cstheme="minorHAnsi"/>
        </w:rPr>
        <w:t>e</w:t>
      </w:r>
      <w:r w:rsidR="007D2E70" w:rsidRPr="00D443CB">
        <w:rPr>
          <w:rFonts w:ascii="Gill Sans MT" w:hAnsi="Gill Sans MT" w:cstheme="minorHAnsi"/>
        </w:rPr>
        <w:t>xternal</w:t>
      </w:r>
      <w:r w:rsidRPr="00D443CB">
        <w:rPr>
          <w:rFonts w:ascii="Gill Sans MT" w:hAnsi="Gill Sans MT" w:cstheme="minorHAnsi"/>
        </w:rPr>
        <w:t xml:space="preserve"> assessment team prior to the verification visits.</w:t>
      </w:r>
    </w:p>
    <w:p w14:paraId="1334BA88" w14:textId="462978D2" w:rsidR="00FF1935" w:rsidRPr="00D443CB" w:rsidRDefault="00DC3D0B" w:rsidP="00FC763C">
      <w:pPr>
        <w:pStyle w:val="ListParagraph"/>
        <w:widowControl w:val="0"/>
        <w:numPr>
          <w:ilvl w:val="0"/>
          <w:numId w:val="28"/>
        </w:numPr>
        <w:autoSpaceDE w:val="0"/>
        <w:autoSpaceDN w:val="0"/>
        <w:adjustRightInd w:val="0"/>
        <w:spacing w:after="0" w:line="240" w:lineRule="auto"/>
        <w:ind w:left="720"/>
        <w:jc w:val="both"/>
        <w:rPr>
          <w:rFonts w:ascii="Gill Sans MT" w:hAnsi="Gill Sans MT" w:cstheme="minorHAnsi"/>
        </w:rPr>
      </w:pPr>
      <w:bookmarkStart w:id="32" w:name="_Hlk519861159"/>
      <w:r w:rsidRPr="00D443CB">
        <w:rPr>
          <w:rFonts w:ascii="Gill Sans MT" w:hAnsi="Gill Sans MT" w:cstheme="minorHAnsi"/>
        </w:rPr>
        <w:t>T</w:t>
      </w:r>
      <w:r w:rsidR="00FF1935" w:rsidRPr="00D443CB">
        <w:rPr>
          <w:rFonts w:ascii="Gill Sans MT" w:hAnsi="Gill Sans MT" w:cstheme="minorHAnsi"/>
        </w:rPr>
        <w:t>ravel and accommodation logistics</w:t>
      </w:r>
      <w:r w:rsidRPr="00D443CB">
        <w:rPr>
          <w:rFonts w:ascii="Gill Sans MT" w:hAnsi="Gill Sans MT" w:cstheme="minorHAnsi"/>
        </w:rPr>
        <w:t xml:space="preserve"> must be arranged for assessment team members</w:t>
      </w:r>
      <w:r w:rsidR="00F12CD3" w:rsidRPr="00D443CB">
        <w:rPr>
          <w:rFonts w:ascii="Gill Sans MT" w:hAnsi="Gill Sans MT" w:cstheme="minorHAnsi"/>
        </w:rPr>
        <w:t xml:space="preserve"> </w:t>
      </w:r>
      <w:bookmarkEnd w:id="32"/>
      <w:r w:rsidR="00F12CD3" w:rsidRPr="00D443CB">
        <w:rPr>
          <w:rFonts w:ascii="Gill Sans MT" w:hAnsi="Gill Sans MT" w:cstheme="minorHAnsi"/>
        </w:rPr>
        <w:t>for the verification visits.</w:t>
      </w:r>
    </w:p>
    <w:p w14:paraId="400CDF57" w14:textId="1EC99F3B" w:rsidR="00AE5670" w:rsidRPr="00D443CB" w:rsidRDefault="00AE5670" w:rsidP="00AE5670">
      <w:pPr>
        <w:widowControl w:val="0"/>
        <w:autoSpaceDE w:val="0"/>
        <w:autoSpaceDN w:val="0"/>
        <w:adjustRightInd w:val="0"/>
        <w:spacing w:after="0" w:line="240" w:lineRule="auto"/>
        <w:jc w:val="both"/>
        <w:rPr>
          <w:rFonts w:ascii="Gill Sans MT" w:hAnsi="Gill Sans MT" w:cstheme="minorHAnsi"/>
        </w:rPr>
      </w:pPr>
    </w:p>
    <w:p w14:paraId="392DD3FA" w14:textId="08962F86" w:rsidR="00AE5670" w:rsidRPr="00D443CB" w:rsidRDefault="00AE5670" w:rsidP="00AE5670">
      <w:pPr>
        <w:widowControl w:val="0"/>
        <w:autoSpaceDE w:val="0"/>
        <w:autoSpaceDN w:val="0"/>
        <w:adjustRightInd w:val="0"/>
        <w:spacing w:after="0" w:line="240" w:lineRule="auto"/>
        <w:jc w:val="both"/>
        <w:rPr>
          <w:rFonts w:ascii="Gill Sans MT" w:hAnsi="Gill Sans MT" w:cstheme="minorHAnsi"/>
        </w:rPr>
      </w:pPr>
      <w:r w:rsidRPr="00D443CB">
        <w:rPr>
          <w:rFonts w:ascii="Gill Sans MT" w:hAnsi="Gill Sans MT" w:cs="Calibri"/>
          <w:i/>
        </w:rPr>
        <w:t>Pre-visit activities for assessors</w:t>
      </w:r>
    </w:p>
    <w:p w14:paraId="2E29E36E" w14:textId="5BD73EC5" w:rsidR="00AE5670" w:rsidRPr="00D443CB" w:rsidRDefault="00AE5670"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Assessors are expected to attend webinar-based orientation and training on the assessment process, TB-Net tool, staging process, verification process and verification checklists. Webinars will be recorded to allow assessors to view at their convenience.</w:t>
      </w:r>
    </w:p>
    <w:p w14:paraId="6B8FFFC7" w14:textId="184710E6" w:rsidR="00AE5670" w:rsidRPr="00D443CB" w:rsidRDefault="00AE5670"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A webinar or teleconference will be held to orient assessors to the purpose and objectives of the mission, specific areas of interest to the NTP, logistics and duties and responsibilities. This will also be an opportunity for assessors to ask questions about the assessment process, TB-Net tool, and checklists.</w:t>
      </w:r>
    </w:p>
    <w:p w14:paraId="796013E7" w14:textId="36E1E0E4" w:rsidR="00B848D5" w:rsidRPr="00D443CB" w:rsidRDefault="00C06A07"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A member of the external assessment team with expertise in data analysis and statistics will analyze the national and sub-national data on diagnostic and laboratory variables data provided by the program and prepare a pre-assessment data report (Annex X: Template for Pre-assessment Data Report). The report should be provided to the assessment team at least two weeks prior to the in-country visit. Presenting the pre-assessment data report to the team as a webinar may be particularly useful.</w:t>
      </w:r>
    </w:p>
    <w:p w14:paraId="71C72AE8" w14:textId="43E393E0" w:rsidR="00C06A07" w:rsidRPr="00D443CB" w:rsidRDefault="00AE5670" w:rsidP="00FC763C">
      <w:pPr>
        <w:pStyle w:val="ListParagraph"/>
        <w:widowControl w:val="0"/>
        <w:numPr>
          <w:ilvl w:val="0"/>
          <w:numId w:val="27"/>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rPr>
        <w:t xml:space="preserve">Assessors should review the </w:t>
      </w:r>
      <w:r w:rsidR="00AC7406" w:rsidRPr="00D443CB">
        <w:rPr>
          <w:rFonts w:ascii="Gill Sans MT" w:hAnsi="Gill Sans MT" w:cstheme="minorHAnsi"/>
        </w:rPr>
        <w:t>national TB strategic plan, national TB Laboratory strategic plan, pre-assessment data report and the self-assessed TB-Net Tool.</w:t>
      </w:r>
    </w:p>
    <w:p w14:paraId="230826CE" w14:textId="77777777" w:rsidR="00AE5670" w:rsidRPr="00D443CB" w:rsidRDefault="00AE5670" w:rsidP="00AE5670">
      <w:pPr>
        <w:widowControl w:val="0"/>
        <w:autoSpaceDE w:val="0"/>
        <w:autoSpaceDN w:val="0"/>
        <w:adjustRightInd w:val="0"/>
        <w:spacing w:after="0" w:line="240" w:lineRule="auto"/>
        <w:jc w:val="both"/>
        <w:rPr>
          <w:rFonts w:ascii="Gill Sans MT" w:hAnsi="Gill Sans MT" w:cstheme="minorHAnsi"/>
        </w:rPr>
      </w:pPr>
    </w:p>
    <w:p w14:paraId="29880E83" w14:textId="7FAD52DA" w:rsidR="00FF1935" w:rsidRPr="00D443CB" w:rsidRDefault="00FF1935" w:rsidP="003F0903">
      <w:pPr>
        <w:pStyle w:val="Heading2"/>
        <w:spacing w:line="240" w:lineRule="auto"/>
        <w:rPr>
          <w:rFonts w:ascii="Gill Sans MT" w:hAnsi="Gill Sans MT" w:cs="Calibri"/>
          <w:sz w:val="24"/>
        </w:rPr>
      </w:pPr>
      <w:bookmarkStart w:id="33" w:name="_Toc37317829"/>
      <w:r w:rsidRPr="00D443CB">
        <w:rPr>
          <w:rFonts w:ascii="Gill Sans MT" w:hAnsi="Gill Sans MT" w:cs="Calibri"/>
          <w:bCs/>
          <w:sz w:val="24"/>
        </w:rPr>
        <w:t xml:space="preserve">Step 2: </w:t>
      </w:r>
      <w:r w:rsidR="00DC3D0B" w:rsidRPr="00D443CB">
        <w:rPr>
          <w:rFonts w:ascii="Gill Sans MT" w:hAnsi="Gill Sans MT" w:cs="Calibri"/>
          <w:bCs/>
          <w:sz w:val="24"/>
        </w:rPr>
        <w:t>In-country activities</w:t>
      </w:r>
      <w:bookmarkEnd w:id="33"/>
    </w:p>
    <w:p w14:paraId="7A0F016F" w14:textId="7F72B9B2" w:rsidR="00394F48" w:rsidRPr="00D443CB" w:rsidRDefault="00394F48" w:rsidP="008F79FE">
      <w:pPr>
        <w:widowControl w:val="0"/>
        <w:autoSpaceDE w:val="0"/>
        <w:autoSpaceDN w:val="0"/>
        <w:adjustRightInd w:val="0"/>
        <w:spacing w:line="240" w:lineRule="auto"/>
        <w:ind w:left="720"/>
        <w:jc w:val="both"/>
        <w:rPr>
          <w:rFonts w:ascii="Gill Sans MT" w:hAnsi="Gill Sans MT" w:cstheme="minorBidi"/>
        </w:rPr>
      </w:pPr>
      <w:bookmarkStart w:id="34" w:name="_Hlk519859954"/>
      <w:r w:rsidRPr="00D443CB">
        <w:rPr>
          <w:rFonts w:ascii="Gill Sans MT" w:hAnsi="Gill Sans MT" w:cstheme="minorBidi"/>
        </w:rPr>
        <w:t>NOTE: For a small program, 5</w:t>
      </w:r>
      <w:r w:rsidR="002C7E7C" w:rsidRPr="00D443CB">
        <w:rPr>
          <w:rFonts w:ascii="Gill Sans MT" w:hAnsi="Gill Sans MT" w:cstheme="minorBidi"/>
        </w:rPr>
        <w:t xml:space="preserve"> – 7</w:t>
      </w:r>
      <w:r w:rsidRPr="00D443CB">
        <w:rPr>
          <w:rFonts w:ascii="Gill Sans MT" w:hAnsi="Gill Sans MT" w:cstheme="minorBidi"/>
        </w:rPr>
        <w:t xml:space="preserve"> working days in-country may be sufficient. For a large program or country, </w:t>
      </w:r>
      <w:bookmarkStart w:id="35" w:name="_Hlk524002424"/>
      <w:r w:rsidRPr="00D443CB">
        <w:rPr>
          <w:rFonts w:ascii="Gill Sans MT" w:hAnsi="Gill Sans MT" w:cstheme="minorBidi"/>
        </w:rPr>
        <w:t xml:space="preserve">10 </w:t>
      </w:r>
      <w:r w:rsidR="002C7E7C" w:rsidRPr="00D443CB">
        <w:rPr>
          <w:rFonts w:ascii="Gill Sans MT" w:hAnsi="Gill Sans MT" w:cstheme="minorBidi"/>
        </w:rPr>
        <w:t xml:space="preserve">– 14 </w:t>
      </w:r>
      <w:bookmarkEnd w:id="35"/>
      <w:r w:rsidRPr="00D443CB">
        <w:rPr>
          <w:rFonts w:ascii="Gill Sans MT" w:hAnsi="Gill Sans MT" w:cstheme="minorBidi"/>
        </w:rPr>
        <w:t>working days in-country may be required. Travel days and rest days should be incorporated into the overall itinerary as appropriate.</w:t>
      </w:r>
      <w:r w:rsidR="005063E8" w:rsidRPr="00D443CB">
        <w:rPr>
          <w:rFonts w:ascii="Gill Sans MT" w:hAnsi="Gill Sans MT" w:cstheme="minorBidi"/>
        </w:rPr>
        <w:t xml:space="preserve"> See Annex </w:t>
      </w:r>
      <w:r w:rsidR="00CC77C2" w:rsidRPr="00D443CB">
        <w:rPr>
          <w:rFonts w:ascii="Gill Sans MT" w:hAnsi="Gill Sans MT" w:cstheme="minorBidi"/>
        </w:rPr>
        <w:t>11</w:t>
      </w:r>
      <w:r w:rsidR="005063E8" w:rsidRPr="00D443CB">
        <w:rPr>
          <w:rFonts w:ascii="Gill Sans MT" w:hAnsi="Gill Sans MT" w:cstheme="minorBidi"/>
        </w:rPr>
        <w:t xml:space="preserve"> for an example of a schedule of activities and agenda for a two-week in-country assessment.</w:t>
      </w:r>
    </w:p>
    <w:p w14:paraId="45F675EC" w14:textId="3D8A2848" w:rsidR="00FF1935" w:rsidRPr="00D443CB" w:rsidRDefault="009173F5" w:rsidP="008F79FE">
      <w:pPr>
        <w:widowControl w:val="0"/>
        <w:autoSpaceDE w:val="0"/>
        <w:autoSpaceDN w:val="0"/>
        <w:adjustRightInd w:val="0"/>
        <w:spacing w:after="0" w:line="240" w:lineRule="auto"/>
        <w:jc w:val="both"/>
        <w:rPr>
          <w:rFonts w:ascii="Gill Sans MT" w:hAnsi="Gill Sans MT"/>
          <w:i/>
        </w:rPr>
      </w:pPr>
      <w:bookmarkStart w:id="36" w:name="_Hlk519860131"/>
      <w:r w:rsidRPr="00D443CB">
        <w:rPr>
          <w:rFonts w:ascii="Gill Sans MT" w:hAnsi="Gill Sans MT" w:cs="Calibri"/>
          <w:i/>
        </w:rPr>
        <w:t>Days 1</w:t>
      </w:r>
      <w:r w:rsidR="00117C78" w:rsidRPr="00D443CB">
        <w:rPr>
          <w:rFonts w:ascii="Gill Sans MT" w:hAnsi="Gill Sans MT" w:cs="Calibri"/>
          <w:i/>
        </w:rPr>
        <w:t>–</w:t>
      </w:r>
      <w:r w:rsidRPr="00D443CB">
        <w:rPr>
          <w:rFonts w:ascii="Gill Sans MT" w:hAnsi="Gill Sans MT" w:cs="Calibri"/>
          <w:i/>
        </w:rPr>
        <w:t xml:space="preserve">2: </w:t>
      </w:r>
      <w:r w:rsidR="008833E8" w:rsidRPr="00D443CB">
        <w:rPr>
          <w:rFonts w:ascii="Gill Sans MT" w:hAnsi="Gill Sans MT" w:cs="Calibri"/>
          <w:i/>
        </w:rPr>
        <w:t>In-country p</w:t>
      </w:r>
      <w:r w:rsidR="00FF1935" w:rsidRPr="00D443CB">
        <w:rPr>
          <w:rFonts w:ascii="Gill Sans MT" w:hAnsi="Gill Sans MT" w:cs="Calibri"/>
          <w:bCs/>
          <w:i/>
        </w:rPr>
        <w:t>re-assessment</w:t>
      </w:r>
      <w:r w:rsidR="00FF1935" w:rsidRPr="00D443CB">
        <w:rPr>
          <w:rFonts w:ascii="Gill Sans MT" w:hAnsi="Gill Sans MT" w:cs="Calibri"/>
          <w:i/>
        </w:rPr>
        <w:t xml:space="preserve"> </w:t>
      </w:r>
      <w:r w:rsidR="00FF1935" w:rsidRPr="00D443CB">
        <w:rPr>
          <w:rFonts w:ascii="Gill Sans MT" w:hAnsi="Gill Sans MT" w:cs="Calibri"/>
          <w:bCs/>
          <w:i/>
        </w:rPr>
        <w:t>Team</w:t>
      </w:r>
      <w:r w:rsidR="00FF1935" w:rsidRPr="00D443CB">
        <w:rPr>
          <w:rFonts w:ascii="Gill Sans MT" w:hAnsi="Gill Sans MT" w:cs="Calibri"/>
          <w:i/>
        </w:rPr>
        <w:t xml:space="preserve"> </w:t>
      </w:r>
      <w:r w:rsidR="00FF1935" w:rsidRPr="00D443CB">
        <w:rPr>
          <w:rFonts w:ascii="Gill Sans MT" w:hAnsi="Gill Sans MT" w:cs="Calibri"/>
          <w:bCs/>
          <w:i/>
        </w:rPr>
        <w:t>Meeting</w:t>
      </w:r>
    </w:p>
    <w:bookmarkEnd w:id="34"/>
    <w:bookmarkEnd w:id="36"/>
    <w:p w14:paraId="70CF3B65" w14:textId="10F0A9BE" w:rsidR="00FF1935" w:rsidRPr="00D443CB" w:rsidRDefault="00FF1935" w:rsidP="008F79FE">
      <w:pPr>
        <w:widowControl w:val="0"/>
        <w:autoSpaceDE w:val="0"/>
        <w:autoSpaceDN w:val="0"/>
        <w:adjustRightInd w:val="0"/>
        <w:spacing w:after="0" w:line="240" w:lineRule="auto"/>
        <w:jc w:val="both"/>
        <w:rPr>
          <w:rFonts w:ascii="Gill Sans MT" w:hAnsi="Gill Sans MT" w:cstheme="minorHAnsi"/>
        </w:rPr>
      </w:pPr>
      <w:r w:rsidRPr="00D443CB">
        <w:rPr>
          <w:rFonts w:ascii="Gill Sans MT" w:hAnsi="Gill Sans MT" w:cs="Calibri"/>
        </w:rPr>
        <w:t xml:space="preserve">The assessment team should arrive </w:t>
      </w:r>
      <w:r w:rsidR="00C661AD" w:rsidRPr="00D443CB">
        <w:rPr>
          <w:rFonts w:ascii="Gill Sans MT" w:hAnsi="Gill Sans MT" w:cs="Calibri"/>
        </w:rPr>
        <w:t xml:space="preserve">two </w:t>
      </w:r>
      <w:r w:rsidR="00873EB5" w:rsidRPr="00D443CB">
        <w:rPr>
          <w:rFonts w:ascii="Gill Sans MT" w:hAnsi="Gill Sans MT" w:cs="Calibri"/>
        </w:rPr>
        <w:t xml:space="preserve">to three </w:t>
      </w:r>
      <w:r w:rsidR="00C661AD" w:rsidRPr="00D443CB">
        <w:rPr>
          <w:rFonts w:ascii="Gill Sans MT" w:hAnsi="Gill Sans MT" w:cs="Calibri"/>
        </w:rPr>
        <w:t>days</w:t>
      </w:r>
      <w:r w:rsidRPr="00D443CB">
        <w:rPr>
          <w:rFonts w:ascii="Gill Sans MT" w:hAnsi="Gill Sans MT" w:cs="Calibri"/>
        </w:rPr>
        <w:t xml:space="preserve"> before the </w:t>
      </w:r>
      <w:r w:rsidR="000025A5" w:rsidRPr="00D443CB">
        <w:rPr>
          <w:rFonts w:ascii="Gill Sans MT" w:hAnsi="Gill Sans MT" w:cs="Calibri"/>
        </w:rPr>
        <w:t xml:space="preserve">verification </w:t>
      </w:r>
      <w:r w:rsidR="00C661AD" w:rsidRPr="00D443CB">
        <w:rPr>
          <w:rFonts w:ascii="Gill Sans MT" w:hAnsi="Gill Sans MT" w:cs="Calibri"/>
        </w:rPr>
        <w:t>field visit</w:t>
      </w:r>
      <w:r w:rsidRPr="00D443CB">
        <w:rPr>
          <w:rFonts w:ascii="Gill Sans MT" w:hAnsi="Gill Sans MT" w:cs="Calibri"/>
        </w:rPr>
        <w:t xml:space="preserve">s to have </w:t>
      </w:r>
      <w:r w:rsidR="00C12F4D" w:rsidRPr="00D443CB">
        <w:rPr>
          <w:rFonts w:ascii="Gill Sans MT" w:hAnsi="Gill Sans MT" w:cs="Calibri"/>
        </w:rPr>
        <w:t xml:space="preserve">an </w:t>
      </w:r>
      <w:r w:rsidRPr="00D443CB">
        <w:rPr>
          <w:rFonts w:ascii="Gill Sans MT" w:hAnsi="Gill Sans MT" w:cs="Calibri"/>
        </w:rPr>
        <w:t>initial team meeting to discuss roles and responsibilities of each assessor</w:t>
      </w:r>
      <w:r w:rsidR="000025A5" w:rsidRPr="00D443CB">
        <w:rPr>
          <w:rFonts w:ascii="Gill Sans MT" w:hAnsi="Gill Sans MT" w:cs="Calibri"/>
        </w:rPr>
        <w:t xml:space="preserve"> and to </w:t>
      </w:r>
      <w:r w:rsidR="009173F5" w:rsidRPr="00D443CB">
        <w:rPr>
          <w:rFonts w:ascii="Gill Sans MT" w:hAnsi="Gill Sans MT" w:cs="Calibri"/>
        </w:rPr>
        <w:t xml:space="preserve">perform an initial </w:t>
      </w:r>
      <w:r w:rsidR="000025A5" w:rsidRPr="00D443CB">
        <w:rPr>
          <w:rFonts w:ascii="Gill Sans MT" w:hAnsi="Gill Sans MT" w:cs="Calibri"/>
        </w:rPr>
        <w:t xml:space="preserve">review </w:t>
      </w:r>
      <w:r w:rsidR="003D2056" w:rsidRPr="00D443CB">
        <w:rPr>
          <w:rFonts w:ascii="Gill Sans MT" w:hAnsi="Gill Sans MT" w:cs="Calibri"/>
        </w:rPr>
        <w:t xml:space="preserve">of </w:t>
      </w:r>
      <w:r w:rsidR="000025A5" w:rsidRPr="00D443CB">
        <w:rPr>
          <w:rFonts w:ascii="Gill Sans MT" w:hAnsi="Gill Sans MT" w:cs="Calibri"/>
        </w:rPr>
        <w:t>the</w:t>
      </w:r>
      <w:r w:rsidR="00DC3D0B" w:rsidRPr="00D443CB">
        <w:rPr>
          <w:rFonts w:ascii="Gill Sans MT" w:hAnsi="Gill Sans MT" w:cs="Calibri"/>
        </w:rPr>
        <w:t xml:space="preserve"> self-ass</w:t>
      </w:r>
      <w:r w:rsidR="009173F5" w:rsidRPr="00D443CB">
        <w:rPr>
          <w:rFonts w:ascii="Gill Sans MT" w:hAnsi="Gill Sans MT" w:cs="Calibri"/>
        </w:rPr>
        <w:t>ess</w:t>
      </w:r>
      <w:r w:rsidR="00DC3D0B" w:rsidRPr="00D443CB">
        <w:rPr>
          <w:rFonts w:ascii="Gill Sans MT" w:hAnsi="Gill Sans MT" w:cs="Calibri"/>
        </w:rPr>
        <w:t>ed</w:t>
      </w:r>
      <w:r w:rsidR="000025A5" w:rsidRPr="00D443CB">
        <w:rPr>
          <w:rFonts w:ascii="Gill Sans MT" w:hAnsi="Gill Sans MT" w:cs="Calibri"/>
        </w:rPr>
        <w:t xml:space="preserve"> </w:t>
      </w:r>
      <w:r w:rsidR="005805FA" w:rsidRPr="00D443CB">
        <w:rPr>
          <w:rFonts w:ascii="Gill Sans MT" w:hAnsi="Gill Sans MT" w:cs="Calibri"/>
        </w:rPr>
        <w:t>TB-Net Tool</w:t>
      </w:r>
      <w:r w:rsidR="00E14C48" w:rsidRPr="00D443CB">
        <w:rPr>
          <w:rFonts w:ascii="Gill Sans MT" w:hAnsi="Gill Sans MT" w:cs="Calibri"/>
        </w:rPr>
        <w:t xml:space="preserve"> completed by the in-country team</w:t>
      </w:r>
      <w:r w:rsidRPr="00D443CB">
        <w:rPr>
          <w:rFonts w:ascii="Gill Sans MT" w:hAnsi="Gill Sans MT" w:cs="Calibri"/>
        </w:rPr>
        <w:t xml:space="preserve">. </w:t>
      </w:r>
      <w:r w:rsidR="00DC3D0B" w:rsidRPr="00D443CB">
        <w:rPr>
          <w:rFonts w:ascii="Gill Sans MT" w:hAnsi="Gill Sans MT" w:cs="Calibri"/>
        </w:rPr>
        <w:t xml:space="preserve">One or </w:t>
      </w:r>
      <w:r w:rsidR="008A7278" w:rsidRPr="00D443CB">
        <w:rPr>
          <w:rFonts w:ascii="Gill Sans MT" w:hAnsi="Gill Sans MT" w:cs="Calibri"/>
        </w:rPr>
        <w:t>t</w:t>
      </w:r>
      <w:r w:rsidR="000025A5" w:rsidRPr="00D443CB">
        <w:rPr>
          <w:rFonts w:ascii="Gill Sans MT" w:hAnsi="Gill Sans MT" w:cs="Calibri"/>
        </w:rPr>
        <w:t xml:space="preserve">wo </w:t>
      </w:r>
      <w:r w:rsidRPr="00D443CB">
        <w:rPr>
          <w:rFonts w:ascii="Gill Sans MT" w:hAnsi="Gill Sans MT" w:cs="Calibri"/>
        </w:rPr>
        <w:t>team member</w:t>
      </w:r>
      <w:r w:rsidR="000025A5" w:rsidRPr="00D443CB">
        <w:rPr>
          <w:rFonts w:ascii="Gill Sans MT" w:hAnsi="Gill Sans MT" w:cs="Calibri"/>
        </w:rPr>
        <w:t>s</w:t>
      </w:r>
      <w:r w:rsidRPr="00D443CB">
        <w:rPr>
          <w:rFonts w:ascii="Gill Sans MT" w:hAnsi="Gill Sans MT" w:cs="Calibri"/>
        </w:rPr>
        <w:t xml:space="preserve"> </w:t>
      </w:r>
      <w:r w:rsidR="00A678B5" w:rsidRPr="00D443CB">
        <w:rPr>
          <w:rFonts w:ascii="Gill Sans MT" w:hAnsi="Gill Sans MT" w:cs="Calibri"/>
        </w:rPr>
        <w:t>should</w:t>
      </w:r>
      <w:r w:rsidRPr="00D443CB">
        <w:rPr>
          <w:rFonts w:ascii="Gill Sans MT" w:hAnsi="Gill Sans MT" w:cs="Calibri"/>
        </w:rPr>
        <w:t xml:space="preserve"> be pre-assigned as </w:t>
      </w:r>
      <w:r w:rsidR="00DC3D0B" w:rsidRPr="00D443CB">
        <w:rPr>
          <w:rFonts w:ascii="Gill Sans MT" w:hAnsi="Gill Sans MT" w:cs="Calibri"/>
        </w:rPr>
        <w:t xml:space="preserve">leaders or </w:t>
      </w:r>
      <w:r w:rsidR="000025A5" w:rsidRPr="00D443CB">
        <w:rPr>
          <w:rFonts w:ascii="Gill Sans MT" w:hAnsi="Gill Sans MT" w:cs="Calibri"/>
        </w:rPr>
        <w:t>co-</w:t>
      </w:r>
      <w:r w:rsidRPr="00D443CB">
        <w:rPr>
          <w:rFonts w:ascii="Gill Sans MT" w:hAnsi="Gill Sans MT" w:cs="Calibri"/>
        </w:rPr>
        <w:t>leader</w:t>
      </w:r>
      <w:r w:rsidR="000025A5" w:rsidRPr="00D443CB">
        <w:rPr>
          <w:rFonts w:ascii="Gill Sans MT" w:hAnsi="Gill Sans MT" w:cs="Calibri"/>
        </w:rPr>
        <w:t>s</w:t>
      </w:r>
      <w:r w:rsidRPr="00D443CB">
        <w:rPr>
          <w:rFonts w:ascii="Gill Sans MT" w:hAnsi="Gill Sans MT" w:cs="Calibri"/>
        </w:rPr>
        <w:t xml:space="preserve"> to guide the team</w:t>
      </w:r>
      <w:r w:rsidR="004C244A" w:rsidRPr="00D443CB">
        <w:rPr>
          <w:rFonts w:ascii="Gill Sans MT" w:hAnsi="Gill Sans MT" w:cs="Calibri"/>
        </w:rPr>
        <w:t xml:space="preserve"> and</w:t>
      </w:r>
      <w:r w:rsidRPr="00D443CB">
        <w:rPr>
          <w:rFonts w:ascii="Gill Sans MT" w:hAnsi="Gill Sans MT" w:cs="Calibri"/>
        </w:rPr>
        <w:t xml:space="preserve"> the overall process</w:t>
      </w:r>
      <w:r w:rsidR="004C244A" w:rsidRPr="00D443CB">
        <w:rPr>
          <w:rFonts w:ascii="Gill Sans MT" w:hAnsi="Gill Sans MT" w:cs="Calibri"/>
        </w:rPr>
        <w:t>;</w:t>
      </w:r>
      <w:r w:rsidRPr="00D443CB">
        <w:rPr>
          <w:rFonts w:ascii="Gill Sans MT" w:hAnsi="Gill Sans MT" w:cs="Calibri"/>
        </w:rPr>
        <w:t xml:space="preserve"> ensure the reports are provided within the requested time-frame</w:t>
      </w:r>
      <w:r w:rsidR="00D01308" w:rsidRPr="00D443CB">
        <w:rPr>
          <w:rFonts w:ascii="Gill Sans MT" w:hAnsi="Gill Sans MT" w:cs="Calibri"/>
        </w:rPr>
        <w:t xml:space="preserve"> and serve as </w:t>
      </w:r>
      <w:r w:rsidR="00D01308" w:rsidRPr="00D443CB">
        <w:rPr>
          <w:rFonts w:ascii="Gill Sans MT" w:hAnsi="Gill Sans MT" w:cstheme="minorHAnsi"/>
        </w:rPr>
        <w:t>the direct link</w:t>
      </w:r>
      <w:r w:rsidR="004C244A" w:rsidRPr="00D443CB">
        <w:rPr>
          <w:rFonts w:ascii="Gill Sans MT" w:hAnsi="Gill Sans MT" w:cstheme="minorHAnsi"/>
        </w:rPr>
        <w:t>(s)</w:t>
      </w:r>
      <w:r w:rsidR="00D01308" w:rsidRPr="00D443CB">
        <w:rPr>
          <w:rFonts w:ascii="Gill Sans MT" w:hAnsi="Gill Sans MT" w:cstheme="minorHAnsi"/>
        </w:rPr>
        <w:t xml:space="preserve"> to the in-country focal person and NTP for the team</w:t>
      </w:r>
      <w:r w:rsidRPr="00D443CB">
        <w:rPr>
          <w:rFonts w:ascii="Gill Sans MT" w:hAnsi="Gill Sans MT" w:cs="Calibri"/>
        </w:rPr>
        <w:t xml:space="preserve">. A </w:t>
      </w:r>
      <w:r w:rsidR="00DC3D0B" w:rsidRPr="00D443CB">
        <w:rPr>
          <w:rFonts w:ascii="Gill Sans MT" w:hAnsi="Gill Sans MT" w:cs="Calibri"/>
        </w:rPr>
        <w:t>team member(s) should be assigned</w:t>
      </w:r>
      <w:r w:rsidRPr="00D443CB">
        <w:rPr>
          <w:rFonts w:ascii="Gill Sans MT" w:hAnsi="Gill Sans MT" w:cs="Calibri"/>
        </w:rPr>
        <w:t xml:space="preserve"> responsib</w:t>
      </w:r>
      <w:r w:rsidR="00DC3D0B" w:rsidRPr="00D443CB">
        <w:rPr>
          <w:rFonts w:ascii="Gill Sans MT" w:hAnsi="Gill Sans MT" w:cs="Calibri"/>
        </w:rPr>
        <w:t>ility</w:t>
      </w:r>
      <w:r w:rsidRPr="00D443CB">
        <w:rPr>
          <w:rFonts w:ascii="Gill Sans MT" w:hAnsi="Gill Sans MT" w:cs="Calibri"/>
        </w:rPr>
        <w:t xml:space="preserve"> for </w:t>
      </w:r>
      <w:r w:rsidR="009173F5" w:rsidRPr="00D443CB">
        <w:rPr>
          <w:rFonts w:ascii="Gill Sans MT" w:hAnsi="Gill Sans MT" w:cs="Calibri"/>
        </w:rPr>
        <w:t xml:space="preserve">leading </w:t>
      </w:r>
      <w:r w:rsidRPr="00D443CB">
        <w:rPr>
          <w:rFonts w:ascii="Gill Sans MT" w:hAnsi="Gill Sans MT" w:cs="Calibri"/>
        </w:rPr>
        <w:t xml:space="preserve">the preparation of the </w:t>
      </w:r>
      <w:r w:rsidR="009173F5" w:rsidRPr="00D443CB">
        <w:rPr>
          <w:rFonts w:ascii="Gill Sans MT" w:hAnsi="Gill Sans MT" w:cs="Calibri"/>
        </w:rPr>
        <w:t xml:space="preserve">final </w:t>
      </w:r>
      <w:r w:rsidRPr="00D443CB">
        <w:rPr>
          <w:rFonts w:ascii="Gill Sans MT" w:hAnsi="Gill Sans MT" w:cs="Calibri"/>
        </w:rPr>
        <w:t>report.</w:t>
      </w:r>
      <w:r w:rsidR="009173F5" w:rsidRPr="00D443CB">
        <w:rPr>
          <w:rFonts w:ascii="Gill Sans MT" w:hAnsi="Gill Sans MT" w:cs="Calibri"/>
        </w:rPr>
        <w:t xml:space="preserve"> </w:t>
      </w:r>
      <w:r w:rsidRPr="00D443CB">
        <w:rPr>
          <w:rFonts w:ascii="Gill Sans MT" w:hAnsi="Gill Sans MT" w:cstheme="minorHAnsi"/>
        </w:rPr>
        <w:t>Suggested roles:</w:t>
      </w:r>
    </w:p>
    <w:p w14:paraId="592686A7" w14:textId="35356547" w:rsidR="00FF1935" w:rsidRPr="00D443CB" w:rsidRDefault="00CA3720" w:rsidP="00FC763C">
      <w:pPr>
        <w:pStyle w:val="ListParagraph"/>
        <w:widowControl w:val="0"/>
        <w:numPr>
          <w:ilvl w:val="0"/>
          <w:numId w:val="18"/>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i/>
          <w:iCs/>
        </w:rPr>
        <w:t xml:space="preserve">External </w:t>
      </w:r>
      <w:r w:rsidR="00FF1935" w:rsidRPr="00D443CB">
        <w:rPr>
          <w:rFonts w:ascii="Gill Sans MT" w:hAnsi="Gill Sans MT" w:cstheme="minorHAnsi"/>
          <w:i/>
          <w:iCs/>
        </w:rPr>
        <w:t>Team</w:t>
      </w:r>
      <w:r w:rsidR="00FF1935" w:rsidRPr="00D443CB">
        <w:rPr>
          <w:rFonts w:ascii="Gill Sans MT" w:hAnsi="Gill Sans MT" w:cstheme="minorHAnsi"/>
        </w:rPr>
        <w:t xml:space="preserve"> </w:t>
      </w:r>
      <w:r w:rsidR="00FF1935" w:rsidRPr="00D443CB">
        <w:rPr>
          <w:rFonts w:ascii="Gill Sans MT" w:hAnsi="Gill Sans MT" w:cstheme="minorHAnsi"/>
          <w:i/>
          <w:iCs/>
        </w:rPr>
        <w:t>Leader:</w:t>
      </w:r>
      <w:r w:rsidR="00FF1935" w:rsidRPr="00D443CB">
        <w:rPr>
          <w:rFonts w:ascii="Gill Sans MT" w:hAnsi="Gill Sans MT" w:cstheme="minorHAnsi"/>
        </w:rPr>
        <w:t xml:space="preserve"> Provides introductory remarks; presents </w:t>
      </w:r>
      <w:r w:rsidR="008647AA" w:rsidRPr="00D443CB">
        <w:rPr>
          <w:rFonts w:ascii="Gill Sans MT" w:hAnsi="Gill Sans MT" w:cstheme="minorHAnsi"/>
        </w:rPr>
        <w:t>o</w:t>
      </w:r>
      <w:r w:rsidR="00FF1935" w:rsidRPr="00D443CB">
        <w:rPr>
          <w:rFonts w:ascii="Gill Sans MT" w:hAnsi="Gill Sans MT" w:cstheme="minorHAnsi"/>
        </w:rPr>
        <w:t>verview</w:t>
      </w:r>
      <w:r w:rsidR="000025A5" w:rsidRPr="00D443CB">
        <w:rPr>
          <w:rFonts w:ascii="Gill Sans MT" w:hAnsi="Gill Sans MT" w:cstheme="minorHAnsi"/>
        </w:rPr>
        <w:t xml:space="preserve"> of TB diagnostic network</w:t>
      </w:r>
      <w:r w:rsidRPr="00D443CB">
        <w:rPr>
          <w:rFonts w:ascii="Gill Sans MT" w:hAnsi="Gill Sans MT" w:cstheme="minorHAnsi"/>
        </w:rPr>
        <w:t xml:space="preserve"> and TB-Net Tool</w:t>
      </w:r>
      <w:r w:rsidR="00FF1935" w:rsidRPr="00D443CB">
        <w:rPr>
          <w:rFonts w:ascii="Gill Sans MT" w:hAnsi="Gill Sans MT" w:cstheme="minorHAnsi"/>
        </w:rPr>
        <w:t xml:space="preserve">; leads the discussion; </w:t>
      </w:r>
      <w:r w:rsidR="00175F7E" w:rsidRPr="00D443CB">
        <w:rPr>
          <w:rFonts w:ascii="Gill Sans MT" w:hAnsi="Gill Sans MT" w:cstheme="minorHAnsi"/>
        </w:rPr>
        <w:t xml:space="preserve">collates data from verification visits and supplemental checklists; presents overview of the process and verification visits leads debrief meeting; </w:t>
      </w:r>
      <w:r w:rsidR="00FF1935" w:rsidRPr="00D443CB">
        <w:rPr>
          <w:rFonts w:ascii="Gill Sans MT" w:hAnsi="Gill Sans MT" w:cstheme="minorHAnsi"/>
        </w:rPr>
        <w:t>co</w:t>
      </w:r>
      <w:r w:rsidR="0001275F" w:rsidRPr="00D443CB">
        <w:rPr>
          <w:rFonts w:ascii="Gill Sans MT" w:hAnsi="Gill Sans MT" w:cstheme="minorHAnsi"/>
        </w:rPr>
        <w:t>ordinates completion of the</w:t>
      </w:r>
      <w:r w:rsidR="00FF1935" w:rsidRPr="00D443CB">
        <w:rPr>
          <w:rFonts w:ascii="Gill Sans MT" w:hAnsi="Gill Sans MT" w:cstheme="minorHAnsi"/>
        </w:rPr>
        <w:t xml:space="preserve"> report</w:t>
      </w:r>
    </w:p>
    <w:p w14:paraId="3608A357" w14:textId="11194305" w:rsidR="00FF1935" w:rsidRPr="00D443CB" w:rsidRDefault="00CA3720" w:rsidP="00FC763C">
      <w:pPr>
        <w:pStyle w:val="ListParagraph"/>
        <w:widowControl w:val="0"/>
        <w:numPr>
          <w:ilvl w:val="0"/>
          <w:numId w:val="18"/>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i/>
          <w:iCs/>
        </w:rPr>
        <w:t>Site</w:t>
      </w:r>
      <w:r w:rsidR="008E5F0C" w:rsidRPr="00D443CB">
        <w:rPr>
          <w:rFonts w:ascii="Gill Sans MT" w:hAnsi="Gill Sans MT" w:cstheme="minorHAnsi"/>
          <w:i/>
          <w:iCs/>
        </w:rPr>
        <w:t>-</w:t>
      </w:r>
      <w:r w:rsidRPr="00D443CB">
        <w:rPr>
          <w:rFonts w:ascii="Gill Sans MT" w:hAnsi="Gill Sans MT" w:cstheme="minorHAnsi"/>
          <w:i/>
          <w:iCs/>
        </w:rPr>
        <w:t xml:space="preserve">assessment </w:t>
      </w:r>
      <w:r w:rsidR="008978B6" w:rsidRPr="00D443CB">
        <w:rPr>
          <w:rFonts w:ascii="Gill Sans MT" w:hAnsi="Gill Sans MT" w:cstheme="minorHAnsi"/>
          <w:i/>
          <w:iCs/>
        </w:rPr>
        <w:t>Team</w:t>
      </w:r>
      <w:r w:rsidR="008978B6" w:rsidRPr="00D443CB">
        <w:rPr>
          <w:rFonts w:ascii="Gill Sans MT" w:hAnsi="Gill Sans MT" w:cstheme="minorHAnsi"/>
        </w:rPr>
        <w:t xml:space="preserve"> </w:t>
      </w:r>
      <w:r w:rsidR="008978B6" w:rsidRPr="00D443CB">
        <w:rPr>
          <w:rFonts w:ascii="Gill Sans MT" w:hAnsi="Gill Sans MT" w:cstheme="minorHAnsi"/>
          <w:i/>
          <w:iCs/>
        </w:rPr>
        <w:t>Leader</w:t>
      </w:r>
      <w:r w:rsidR="00FF1935" w:rsidRPr="00D443CB">
        <w:rPr>
          <w:rFonts w:ascii="Gill Sans MT" w:hAnsi="Gill Sans MT" w:cstheme="minorHAnsi"/>
          <w:i/>
          <w:iCs/>
        </w:rPr>
        <w:t>:</w:t>
      </w:r>
      <w:r w:rsidR="00FF1935" w:rsidRPr="00D443CB">
        <w:rPr>
          <w:rFonts w:ascii="Gill Sans MT" w:hAnsi="Gill Sans MT" w:cstheme="minorHAnsi"/>
        </w:rPr>
        <w:t xml:space="preserve"> </w:t>
      </w:r>
      <w:r w:rsidR="00175F7E" w:rsidRPr="00D443CB">
        <w:rPr>
          <w:rFonts w:ascii="Gill Sans MT" w:hAnsi="Gill Sans MT" w:cstheme="minorHAnsi"/>
        </w:rPr>
        <w:t>Leads the on-site assessment team, provides on-site introductory remarks; p</w:t>
      </w:r>
      <w:r w:rsidR="00FF1935" w:rsidRPr="00D443CB">
        <w:rPr>
          <w:rFonts w:ascii="Gill Sans MT" w:hAnsi="Gill Sans MT" w:cstheme="minorHAnsi"/>
        </w:rPr>
        <w:t xml:space="preserve">resents </w:t>
      </w:r>
      <w:r w:rsidR="00DC3D0B" w:rsidRPr="00D443CB">
        <w:rPr>
          <w:rFonts w:ascii="Gill Sans MT" w:hAnsi="Gill Sans MT" w:cstheme="minorHAnsi"/>
        </w:rPr>
        <w:t xml:space="preserve">an overview of the </w:t>
      </w:r>
      <w:r w:rsidR="005805FA" w:rsidRPr="00D443CB">
        <w:rPr>
          <w:rFonts w:ascii="Gill Sans MT" w:hAnsi="Gill Sans MT" w:cstheme="minorHAnsi"/>
        </w:rPr>
        <w:t>TB-Net Too</w:t>
      </w:r>
      <w:r w:rsidR="00175F7E" w:rsidRPr="00D443CB">
        <w:rPr>
          <w:rFonts w:ascii="Gill Sans MT" w:hAnsi="Gill Sans MT" w:cstheme="minorHAnsi"/>
        </w:rPr>
        <w:t>l,</w:t>
      </w:r>
      <w:r w:rsidR="003C2D14" w:rsidRPr="00D443CB">
        <w:rPr>
          <w:rFonts w:ascii="Gill Sans MT" w:hAnsi="Gill Sans MT" w:cstheme="minorHAnsi"/>
        </w:rPr>
        <w:t xml:space="preserve"> </w:t>
      </w:r>
      <w:r w:rsidR="00175F7E" w:rsidRPr="00D443CB">
        <w:rPr>
          <w:rFonts w:ascii="Gill Sans MT" w:hAnsi="Gill Sans MT" w:cstheme="minorHAnsi"/>
        </w:rPr>
        <w:t>verification visit and assessment process</w:t>
      </w:r>
      <w:r w:rsidR="0001275F" w:rsidRPr="00D443CB">
        <w:rPr>
          <w:rFonts w:ascii="Gill Sans MT" w:hAnsi="Gill Sans MT" w:cstheme="minorHAnsi"/>
        </w:rPr>
        <w:t xml:space="preserve">; </w:t>
      </w:r>
      <w:r w:rsidR="00125436" w:rsidRPr="00D443CB">
        <w:rPr>
          <w:rFonts w:ascii="Gill Sans MT" w:hAnsi="Gill Sans MT" w:cstheme="minorHAnsi"/>
        </w:rPr>
        <w:t xml:space="preserve">collates data from verification </w:t>
      </w:r>
      <w:r w:rsidR="00213FEE" w:rsidRPr="00D443CB">
        <w:rPr>
          <w:rFonts w:ascii="Gill Sans MT" w:hAnsi="Gill Sans MT" w:cstheme="minorHAnsi"/>
        </w:rPr>
        <w:t>and supplemental checklists</w:t>
      </w:r>
      <w:r w:rsidR="00125436" w:rsidRPr="00D443CB">
        <w:rPr>
          <w:rFonts w:ascii="Gill Sans MT" w:hAnsi="Gill Sans MT" w:cstheme="minorHAnsi"/>
        </w:rPr>
        <w:t xml:space="preserve">; </w:t>
      </w:r>
      <w:r w:rsidR="00175F7E" w:rsidRPr="00D443CB">
        <w:rPr>
          <w:rFonts w:ascii="Gill Sans MT" w:hAnsi="Gill Sans MT" w:cstheme="minorHAnsi"/>
        </w:rPr>
        <w:t xml:space="preserve">provides an exit briefing for the site personnel  </w:t>
      </w:r>
    </w:p>
    <w:p w14:paraId="21836062" w14:textId="696E3C49" w:rsidR="00361AB2" w:rsidRPr="00D443CB" w:rsidRDefault="00361AB2" w:rsidP="00FC763C">
      <w:pPr>
        <w:pStyle w:val="ListParagraph"/>
        <w:widowControl w:val="0"/>
        <w:numPr>
          <w:ilvl w:val="0"/>
          <w:numId w:val="18"/>
        </w:numPr>
        <w:autoSpaceDE w:val="0"/>
        <w:autoSpaceDN w:val="0"/>
        <w:adjustRightInd w:val="0"/>
        <w:spacing w:after="0" w:line="240" w:lineRule="auto"/>
        <w:ind w:left="720"/>
        <w:jc w:val="both"/>
        <w:rPr>
          <w:rFonts w:ascii="Gill Sans MT" w:hAnsi="Gill Sans MT" w:cstheme="minorHAnsi"/>
        </w:rPr>
      </w:pPr>
      <w:r w:rsidRPr="00D443CB">
        <w:rPr>
          <w:rFonts w:ascii="Gill Sans MT" w:hAnsi="Gill Sans MT" w:cstheme="minorHAnsi"/>
          <w:i/>
          <w:iCs/>
        </w:rPr>
        <w:t>Data analysis leader:</w:t>
      </w:r>
      <w:r w:rsidRPr="00D443CB">
        <w:rPr>
          <w:rFonts w:ascii="Gill Sans MT" w:hAnsi="Gill Sans MT" w:cstheme="minorHAnsi"/>
        </w:rPr>
        <w:t xml:space="preserve"> Leads the pre-assessment data analysis, prepares the pre-assessment data report, and presents the pre-assessment data report to the assessment team on Day 1 of the in-country visit or as a webinar prior to the in-country visit</w:t>
      </w:r>
    </w:p>
    <w:p w14:paraId="32B1691D" w14:textId="747F320A" w:rsidR="0001275F" w:rsidRPr="00D443CB" w:rsidRDefault="008E5F0C" w:rsidP="00FC763C">
      <w:pPr>
        <w:pStyle w:val="ListParagraph"/>
        <w:widowControl w:val="0"/>
        <w:numPr>
          <w:ilvl w:val="0"/>
          <w:numId w:val="18"/>
        </w:numPr>
        <w:autoSpaceDE w:val="0"/>
        <w:autoSpaceDN w:val="0"/>
        <w:adjustRightInd w:val="0"/>
        <w:spacing w:after="120" w:line="240" w:lineRule="auto"/>
        <w:ind w:left="720"/>
        <w:jc w:val="both"/>
        <w:rPr>
          <w:rFonts w:ascii="Gill Sans MT" w:hAnsi="Gill Sans MT" w:cstheme="minorHAnsi"/>
        </w:rPr>
      </w:pPr>
      <w:r w:rsidRPr="00D443CB">
        <w:rPr>
          <w:rFonts w:ascii="Gill Sans MT" w:hAnsi="Gill Sans MT" w:cstheme="minorHAnsi"/>
          <w:i/>
          <w:iCs/>
        </w:rPr>
        <w:t>External assessment team</w:t>
      </w:r>
      <w:r w:rsidR="0001275F" w:rsidRPr="00D443CB">
        <w:rPr>
          <w:rFonts w:ascii="Gill Sans MT" w:hAnsi="Gill Sans MT" w:cstheme="minorHAnsi"/>
          <w:i/>
          <w:iCs/>
        </w:rPr>
        <w:t xml:space="preserve"> (all </w:t>
      </w:r>
      <w:r w:rsidRPr="00D443CB">
        <w:rPr>
          <w:rFonts w:ascii="Gill Sans MT" w:hAnsi="Gill Sans MT" w:cstheme="minorHAnsi"/>
          <w:i/>
          <w:iCs/>
        </w:rPr>
        <w:t>external assessors</w:t>
      </w:r>
      <w:r w:rsidR="0001275F" w:rsidRPr="00D443CB">
        <w:rPr>
          <w:rFonts w:ascii="Gill Sans MT" w:hAnsi="Gill Sans MT" w:cstheme="minorHAnsi"/>
          <w:i/>
          <w:iCs/>
        </w:rPr>
        <w:t>)</w:t>
      </w:r>
      <w:r w:rsidR="00FF1935" w:rsidRPr="00D443CB">
        <w:rPr>
          <w:rFonts w:ascii="Gill Sans MT" w:hAnsi="Gill Sans MT" w:cstheme="minorHAnsi"/>
          <w:iCs/>
        </w:rPr>
        <w:t>:</w:t>
      </w:r>
      <w:r w:rsidR="009A2E5D" w:rsidRPr="00D443CB">
        <w:rPr>
          <w:rFonts w:ascii="Gill Sans MT" w:hAnsi="Gill Sans MT" w:cstheme="minorHAnsi"/>
          <w:i/>
          <w:iCs/>
        </w:rPr>
        <w:t xml:space="preserve"> </w:t>
      </w:r>
      <w:r w:rsidR="0001275F" w:rsidRPr="00D443CB">
        <w:rPr>
          <w:rFonts w:ascii="Gill Sans MT" w:hAnsi="Gill Sans MT" w:cstheme="minorHAnsi"/>
        </w:rPr>
        <w:t xml:space="preserve">Provide input on the </w:t>
      </w:r>
      <w:r w:rsidR="005805FA" w:rsidRPr="00D443CB">
        <w:rPr>
          <w:rFonts w:ascii="Gill Sans MT" w:hAnsi="Gill Sans MT" w:cstheme="minorHAnsi"/>
        </w:rPr>
        <w:t>TB-Net Tool</w:t>
      </w:r>
      <w:r w:rsidR="0001275F" w:rsidRPr="00D443CB">
        <w:rPr>
          <w:rFonts w:ascii="Gill Sans MT" w:hAnsi="Gill Sans MT" w:cstheme="minorHAnsi"/>
        </w:rPr>
        <w:t xml:space="preserve">, </w:t>
      </w:r>
      <w:r w:rsidR="00FF1935" w:rsidRPr="00D443CB">
        <w:rPr>
          <w:rFonts w:ascii="Gill Sans MT" w:hAnsi="Gill Sans MT" w:cstheme="minorHAnsi"/>
        </w:rPr>
        <w:t>examine available documents for verification</w:t>
      </w:r>
      <w:r w:rsidR="0001275F" w:rsidRPr="00D443CB">
        <w:rPr>
          <w:rFonts w:ascii="Gill Sans MT" w:hAnsi="Gill Sans MT" w:cstheme="minorHAnsi"/>
        </w:rPr>
        <w:t xml:space="preserve">; review country-prepared </w:t>
      </w:r>
      <w:r w:rsidR="00125436" w:rsidRPr="00D443CB">
        <w:rPr>
          <w:rFonts w:ascii="Gill Sans MT" w:hAnsi="Gill Sans MT" w:cstheme="minorHAnsi"/>
        </w:rPr>
        <w:t>staging</w:t>
      </w:r>
      <w:r w:rsidR="0001275F" w:rsidRPr="00D443CB">
        <w:rPr>
          <w:rFonts w:ascii="Gill Sans MT" w:hAnsi="Gill Sans MT" w:cstheme="minorHAnsi"/>
        </w:rPr>
        <w:t xml:space="preserve">; </w:t>
      </w:r>
      <w:r w:rsidR="00034F22" w:rsidRPr="00D443CB">
        <w:rPr>
          <w:rFonts w:ascii="Gill Sans MT" w:hAnsi="Gill Sans MT" w:cstheme="minorHAnsi"/>
        </w:rPr>
        <w:t xml:space="preserve">review the verification checklist to ensure </w:t>
      </w:r>
      <w:r w:rsidR="00B83DF8" w:rsidRPr="00D443CB">
        <w:rPr>
          <w:rFonts w:ascii="Gill Sans MT" w:hAnsi="Gill Sans MT" w:cstheme="minorHAnsi"/>
        </w:rPr>
        <w:lastRenderedPageBreak/>
        <w:t>that issues</w:t>
      </w:r>
      <w:r w:rsidR="00034F22" w:rsidRPr="00D443CB">
        <w:rPr>
          <w:rFonts w:ascii="Gill Sans MT" w:hAnsi="Gill Sans MT" w:cstheme="minorHAnsi"/>
        </w:rPr>
        <w:t xml:space="preserve"> raised in the review of the country-prepared staging are adequately addressed</w:t>
      </w:r>
      <w:r w:rsidR="00B828C1" w:rsidRPr="00D443CB">
        <w:rPr>
          <w:rFonts w:ascii="Gill Sans MT" w:hAnsi="Gill Sans MT" w:cstheme="minorHAnsi"/>
        </w:rPr>
        <w:t>;</w:t>
      </w:r>
      <w:r w:rsidRPr="00D443CB">
        <w:rPr>
          <w:rFonts w:ascii="Gill Sans MT" w:hAnsi="Gill Sans MT" w:cstheme="minorHAnsi"/>
        </w:rPr>
        <w:t xml:space="preserve"> </w:t>
      </w:r>
      <w:r w:rsidR="00B828C1" w:rsidRPr="00D443CB">
        <w:rPr>
          <w:rFonts w:ascii="Gill Sans MT" w:hAnsi="Gill Sans MT" w:cstheme="minorHAnsi"/>
        </w:rPr>
        <w:t xml:space="preserve">conduct verification visits and interviews; </w:t>
      </w:r>
      <w:r w:rsidRPr="00D443CB">
        <w:rPr>
          <w:rFonts w:ascii="Gill Sans MT" w:hAnsi="Gill Sans MT" w:cstheme="minorHAnsi"/>
        </w:rPr>
        <w:t>review the findings of the verification visits</w:t>
      </w:r>
      <w:r w:rsidR="00B828C1" w:rsidRPr="00D443CB">
        <w:rPr>
          <w:rFonts w:ascii="Gill Sans MT" w:hAnsi="Gill Sans MT" w:cstheme="minorHAnsi"/>
        </w:rPr>
        <w:t>;</w:t>
      </w:r>
      <w:r w:rsidRPr="00D443CB">
        <w:rPr>
          <w:rFonts w:ascii="Gill Sans MT" w:hAnsi="Gill Sans MT" w:cstheme="minorHAnsi"/>
        </w:rPr>
        <w:t xml:space="preserve"> </w:t>
      </w:r>
      <w:r w:rsidR="007655A2" w:rsidRPr="00D443CB">
        <w:rPr>
          <w:rFonts w:ascii="Gill Sans MT" w:hAnsi="Gill Sans MT" w:cstheme="minorHAnsi"/>
        </w:rPr>
        <w:t>complete the TB-Net Tool (i.e., assign stages and describe stage-defining factors); develop and prioritize recommendations and interventions</w:t>
      </w:r>
    </w:p>
    <w:p w14:paraId="54F4ED5F" w14:textId="0AA82FA0" w:rsidR="00BB18AF" w:rsidRPr="00D443CB" w:rsidRDefault="008E5F0C" w:rsidP="00FC763C">
      <w:pPr>
        <w:pStyle w:val="ListParagraph"/>
        <w:widowControl w:val="0"/>
        <w:numPr>
          <w:ilvl w:val="0"/>
          <w:numId w:val="18"/>
        </w:numPr>
        <w:autoSpaceDE w:val="0"/>
        <w:autoSpaceDN w:val="0"/>
        <w:adjustRightInd w:val="0"/>
        <w:spacing w:after="120" w:line="240" w:lineRule="auto"/>
        <w:ind w:left="720"/>
        <w:jc w:val="both"/>
        <w:rPr>
          <w:rFonts w:ascii="Gill Sans MT" w:hAnsi="Gill Sans MT" w:cstheme="minorBidi"/>
        </w:rPr>
      </w:pPr>
      <w:r w:rsidRPr="00D443CB">
        <w:rPr>
          <w:rFonts w:ascii="Gill Sans MT" w:hAnsi="Gill Sans MT" w:cstheme="minorBidi"/>
          <w:i/>
        </w:rPr>
        <w:t xml:space="preserve">Joint </w:t>
      </w:r>
      <w:r w:rsidR="009436E8" w:rsidRPr="00D443CB">
        <w:rPr>
          <w:rFonts w:ascii="Gill Sans MT" w:hAnsi="Gill Sans MT" w:cstheme="minorBidi"/>
          <w:i/>
        </w:rPr>
        <w:t>assessment team</w:t>
      </w:r>
      <w:r w:rsidR="00BB18AF" w:rsidRPr="00D443CB">
        <w:rPr>
          <w:rFonts w:ascii="Gill Sans MT" w:hAnsi="Gill Sans MT" w:cstheme="minorBidi"/>
          <w:i/>
        </w:rPr>
        <w:t xml:space="preserve"> (</w:t>
      </w:r>
      <w:r w:rsidRPr="00D443CB">
        <w:rPr>
          <w:rFonts w:ascii="Gill Sans MT" w:hAnsi="Gill Sans MT" w:cstheme="minorBidi"/>
          <w:i/>
        </w:rPr>
        <w:t>external assessors</w:t>
      </w:r>
      <w:r w:rsidR="00B828C1" w:rsidRPr="00D443CB">
        <w:rPr>
          <w:rFonts w:ascii="Gill Sans MT" w:hAnsi="Gill Sans MT" w:cstheme="minorBidi"/>
          <w:i/>
        </w:rPr>
        <w:t xml:space="preserve"> plus</w:t>
      </w:r>
      <w:r w:rsidRPr="00D443CB">
        <w:rPr>
          <w:rFonts w:ascii="Gill Sans MT" w:hAnsi="Gill Sans MT" w:cstheme="minorBidi"/>
          <w:i/>
        </w:rPr>
        <w:t xml:space="preserve"> members of the self-assessment team and internal experts)</w:t>
      </w:r>
      <w:r w:rsidR="00BB18AF" w:rsidRPr="00D443CB">
        <w:rPr>
          <w:rFonts w:ascii="Gill Sans MT" w:hAnsi="Gill Sans MT" w:cstheme="minorBidi"/>
        </w:rPr>
        <w:t>:</w:t>
      </w:r>
      <w:r w:rsidRPr="00D443CB">
        <w:rPr>
          <w:rFonts w:ascii="Gill Sans MT" w:hAnsi="Gill Sans MT" w:cstheme="minorBidi"/>
        </w:rPr>
        <w:t xml:space="preserve"> Prior to the verification visits</w:t>
      </w:r>
      <w:r w:rsidR="00B828C1" w:rsidRPr="00D443CB">
        <w:rPr>
          <w:rFonts w:ascii="Gill Sans MT" w:hAnsi="Gill Sans MT" w:cstheme="minorBidi"/>
        </w:rPr>
        <w:t>,</w:t>
      </w:r>
      <w:r w:rsidRPr="00D443CB">
        <w:rPr>
          <w:rFonts w:ascii="Gill Sans MT" w:hAnsi="Gill Sans MT" w:cstheme="minorBidi"/>
        </w:rPr>
        <w:t xml:space="preserve"> review the self-assessment and identify specific areas to address during the verification visits; review findings of verification visits; </w:t>
      </w:r>
      <w:r w:rsidR="00B828C1" w:rsidRPr="00D443CB">
        <w:rPr>
          <w:rFonts w:ascii="Gill Sans MT" w:hAnsi="Gill Sans MT" w:cstheme="minorBidi"/>
        </w:rPr>
        <w:t>participate in the development of recommendations</w:t>
      </w:r>
    </w:p>
    <w:p w14:paraId="29580359" w14:textId="03AEB7F6" w:rsidR="00FF1935" w:rsidRPr="00D443CB" w:rsidRDefault="009173F5" w:rsidP="008F79FE">
      <w:pPr>
        <w:widowControl w:val="0"/>
        <w:autoSpaceDE w:val="0"/>
        <w:autoSpaceDN w:val="0"/>
        <w:adjustRightInd w:val="0"/>
        <w:spacing w:after="15" w:line="240" w:lineRule="auto"/>
        <w:jc w:val="both"/>
        <w:rPr>
          <w:rFonts w:ascii="Gill Sans MT" w:hAnsi="Gill Sans MT" w:cs="Calibri"/>
        </w:rPr>
      </w:pPr>
      <w:r w:rsidRPr="00D443CB">
        <w:rPr>
          <w:rFonts w:ascii="Gill Sans MT" w:hAnsi="Gill Sans MT" w:cstheme="minorHAnsi"/>
        </w:rPr>
        <w:t>Suggested activities:</w:t>
      </w:r>
    </w:p>
    <w:p w14:paraId="30853DE2" w14:textId="68F3FE8C"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rPr>
      </w:pPr>
      <w:r w:rsidRPr="00D443CB">
        <w:rPr>
          <w:rFonts w:ascii="Gill Sans MT" w:hAnsi="Gill Sans MT" w:cs="Calibri"/>
        </w:rPr>
        <w:t xml:space="preserve">The in-country focal person shall ensure advance invitations are sent to the working group participants </w:t>
      </w:r>
      <w:r w:rsidR="00F12CD3" w:rsidRPr="00D443CB">
        <w:rPr>
          <w:rFonts w:ascii="Gill Sans MT" w:hAnsi="Gill Sans MT" w:cs="Calibri"/>
        </w:rPr>
        <w:t>including representatives of the</w:t>
      </w:r>
      <w:r w:rsidR="00CF0615" w:rsidRPr="00D443CB">
        <w:rPr>
          <w:rFonts w:ascii="Gill Sans MT" w:hAnsi="Gill Sans MT" w:cs="Calibri"/>
        </w:rPr>
        <w:t xml:space="preserve"> </w:t>
      </w:r>
      <w:r w:rsidR="00F12CD3" w:rsidRPr="00D443CB">
        <w:rPr>
          <w:rFonts w:ascii="Gill Sans MT" w:hAnsi="Gill Sans MT" w:cs="Calibri"/>
        </w:rPr>
        <w:t xml:space="preserve">self-assessment team </w:t>
      </w:r>
      <w:r w:rsidRPr="00D443CB">
        <w:rPr>
          <w:rFonts w:ascii="Gill Sans MT" w:hAnsi="Gill Sans MT" w:cs="Calibri"/>
        </w:rPr>
        <w:t>to attend the assessment discussions, and will arrange venue and logistics in advance (including tea breaks, water and lunch)</w:t>
      </w:r>
    </w:p>
    <w:p w14:paraId="02A3C4B2" w14:textId="16F2A4DA" w:rsidR="00FF1935" w:rsidRPr="00D443CB" w:rsidRDefault="009A2E5D" w:rsidP="008F79FE">
      <w:pPr>
        <w:pStyle w:val="ListParagraph"/>
        <w:widowControl w:val="0"/>
        <w:numPr>
          <w:ilvl w:val="0"/>
          <w:numId w:val="2"/>
        </w:numPr>
        <w:tabs>
          <w:tab w:val="left" w:pos="720"/>
        </w:tabs>
        <w:autoSpaceDE w:val="0"/>
        <w:autoSpaceDN w:val="0"/>
        <w:adjustRightInd w:val="0"/>
        <w:spacing w:after="0" w:line="240" w:lineRule="auto"/>
        <w:jc w:val="both"/>
        <w:rPr>
          <w:rFonts w:ascii="Gill Sans MT" w:hAnsi="Gill Sans MT"/>
        </w:rPr>
      </w:pPr>
      <w:r w:rsidRPr="00D443CB">
        <w:rPr>
          <w:rFonts w:ascii="Gill Sans MT" w:hAnsi="Gill Sans MT" w:cs="Calibri"/>
        </w:rPr>
        <w:t>Mo</w:t>
      </w:r>
      <w:r w:rsidR="00FF1935" w:rsidRPr="00D443CB">
        <w:rPr>
          <w:rFonts w:ascii="Gill Sans MT" w:hAnsi="Gill Sans MT" w:cs="Calibri"/>
        </w:rPr>
        <w:t>H</w:t>
      </w:r>
      <w:r w:rsidR="008647AA" w:rsidRPr="00D443CB">
        <w:rPr>
          <w:rFonts w:ascii="Gill Sans MT" w:hAnsi="Gill Sans MT" w:cs="Calibri"/>
        </w:rPr>
        <w:t>/NTP</w:t>
      </w:r>
      <w:r w:rsidR="00FF1935" w:rsidRPr="00D443CB">
        <w:rPr>
          <w:rFonts w:ascii="Gill Sans MT" w:hAnsi="Gill Sans MT" w:cs="Calibri"/>
        </w:rPr>
        <w:t xml:space="preserve"> focal person and </w:t>
      </w:r>
      <w:r w:rsidRPr="00D443CB">
        <w:rPr>
          <w:rFonts w:ascii="Gill Sans MT" w:hAnsi="Gill Sans MT" w:cs="Calibri"/>
        </w:rPr>
        <w:t xml:space="preserve">the </w:t>
      </w:r>
      <w:r w:rsidR="00CF0615" w:rsidRPr="00D443CB">
        <w:rPr>
          <w:rFonts w:ascii="Gill Sans MT" w:hAnsi="Gill Sans MT" w:cs="Calibri"/>
        </w:rPr>
        <w:t xml:space="preserve">external </w:t>
      </w:r>
      <w:r w:rsidRPr="00D443CB">
        <w:rPr>
          <w:rFonts w:ascii="Gill Sans MT" w:hAnsi="Gill Sans MT" w:cs="Calibri"/>
        </w:rPr>
        <w:t>assessment team meet with Mo</w:t>
      </w:r>
      <w:r w:rsidR="00FF1935" w:rsidRPr="00D443CB">
        <w:rPr>
          <w:rFonts w:ascii="Gill Sans MT" w:hAnsi="Gill Sans MT" w:cs="Calibri"/>
        </w:rPr>
        <w:t>H working group</w:t>
      </w:r>
      <w:r w:rsidR="00A678B5" w:rsidRPr="00D443CB">
        <w:rPr>
          <w:rFonts w:ascii="Gill Sans MT" w:hAnsi="Gill Sans MT" w:cs="Calibri"/>
        </w:rPr>
        <w:t xml:space="preserve"> or</w:t>
      </w:r>
      <w:r w:rsidR="00BE2B99" w:rsidRPr="00D443CB">
        <w:rPr>
          <w:rFonts w:ascii="Gill Sans MT" w:hAnsi="Gill Sans MT" w:cs="Calibri"/>
        </w:rPr>
        <w:t xml:space="preserve"> in-country team </w:t>
      </w:r>
    </w:p>
    <w:p w14:paraId="08AF2653" w14:textId="6A420842"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rPr>
      </w:pPr>
      <w:r w:rsidRPr="00D443CB">
        <w:rPr>
          <w:rFonts w:ascii="Gill Sans MT" w:hAnsi="Gill Sans MT" w:cs="Calibri"/>
        </w:rPr>
        <w:t xml:space="preserve">The team leader gives a brief overview of the assessment agenda (as described here) and explains the purpose of the assessment. The purpose of the assessment is for countries to obtain data regarding their </w:t>
      </w:r>
      <w:r w:rsidR="000025A5" w:rsidRPr="00D443CB">
        <w:rPr>
          <w:rFonts w:ascii="Gill Sans MT" w:hAnsi="Gill Sans MT" w:cs="Calibri"/>
        </w:rPr>
        <w:t xml:space="preserve">TB </w:t>
      </w:r>
      <w:r w:rsidR="00D0288D" w:rsidRPr="00D443CB">
        <w:rPr>
          <w:rFonts w:ascii="Gill Sans MT" w:hAnsi="Gill Sans MT" w:cs="Calibri"/>
        </w:rPr>
        <w:t xml:space="preserve">diagnostic </w:t>
      </w:r>
      <w:r w:rsidRPr="00D443CB">
        <w:rPr>
          <w:rFonts w:ascii="Gill Sans MT" w:hAnsi="Gill Sans MT" w:cs="Calibri"/>
        </w:rPr>
        <w:t xml:space="preserve">network and its ability to </w:t>
      </w:r>
      <w:r w:rsidR="008647AA" w:rsidRPr="00D443CB">
        <w:rPr>
          <w:rFonts w:ascii="Gill Sans MT" w:hAnsi="Gill Sans MT" w:cs="Calibri"/>
        </w:rPr>
        <w:t xml:space="preserve">support the </w:t>
      </w:r>
      <w:r w:rsidR="00C95168" w:rsidRPr="00D443CB">
        <w:rPr>
          <w:rFonts w:ascii="Gill Sans MT" w:hAnsi="Gill Sans MT" w:cs="Calibri"/>
        </w:rPr>
        <w:t>NSP</w:t>
      </w:r>
      <w:r w:rsidRPr="00D443CB">
        <w:rPr>
          <w:rFonts w:ascii="Gill Sans MT" w:hAnsi="Gill Sans MT" w:cs="Calibri"/>
        </w:rPr>
        <w:t xml:space="preserve">. The assessment report will highlight areas required for implementation or improvement within the </w:t>
      </w:r>
      <w:r w:rsidR="00D0288D" w:rsidRPr="00D443CB">
        <w:rPr>
          <w:rFonts w:ascii="Gill Sans MT" w:hAnsi="Gill Sans MT" w:cs="Calibri"/>
        </w:rPr>
        <w:t xml:space="preserve">diagnostic </w:t>
      </w:r>
      <w:r w:rsidRPr="00D443CB">
        <w:rPr>
          <w:rFonts w:ascii="Gill Sans MT" w:hAnsi="Gill Sans MT" w:cs="Calibri"/>
        </w:rPr>
        <w:t>network.</w:t>
      </w:r>
    </w:p>
    <w:p w14:paraId="425DE2DE" w14:textId="0688CF29" w:rsidR="00FF1935" w:rsidRPr="00D443CB" w:rsidRDefault="00FF1935" w:rsidP="008F79FE">
      <w:pPr>
        <w:widowControl w:val="0"/>
        <w:autoSpaceDE w:val="0"/>
        <w:autoSpaceDN w:val="0"/>
        <w:adjustRightInd w:val="0"/>
        <w:spacing w:after="0" w:line="240" w:lineRule="auto"/>
        <w:ind w:left="1008" w:right="432"/>
        <w:jc w:val="both"/>
        <w:rPr>
          <w:rFonts w:ascii="Gill Sans MT" w:hAnsi="Gill Sans MT"/>
        </w:rPr>
      </w:pPr>
      <w:r w:rsidRPr="00D443CB">
        <w:rPr>
          <w:rFonts w:ascii="Gill Sans MT" w:hAnsi="Gill Sans MT" w:cs="Calibri"/>
          <w:b/>
        </w:rPr>
        <w:t>Note</w:t>
      </w:r>
      <w:r w:rsidRPr="00D443CB">
        <w:rPr>
          <w:rFonts w:ascii="Gill Sans MT" w:hAnsi="Gill Sans MT" w:cs="Calibri"/>
        </w:rPr>
        <w:t xml:space="preserve">: It is important for the team leader to emphasize that this activity is a systems and networks assessment and </w:t>
      </w:r>
      <w:r w:rsidRPr="00D443CB">
        <w:rPr>
          <w:rFonts w:ascii="Gill Sans MT" w:hAnsi="Gill Sans MT" w:cs="Calibri"/>
          <w:u w:val="single"/>
        </w:rPr>
        <w:t>not</w:t>
      </w:r>
      <w:r w:rsidRPr="00D443CB">
        <w:rPr>
          <w:rFonts w:ascii="Gill Sans MT" w:hAnsi="Gill Sans MT" w:cs="Calibri"/>
        </w:rPr>
        <w:t xml:space="preserve"> a facility-based assessment. Site visits are part of the overall process to verify scores noted at the national level.</w:t>
      </w:r>
    </w:p>
    <w:p w14:paraId="4686654D" w14:textId="64A0777E" w:rsidR="00327549" w:rsidRPr="00D443CB" w:rsidRDefault="00F12CD3" w:rsidP="008F79FE">
      <w:pPr>
        <w:pStyle w:val="ListParagraph"/>
        <w:widowControl w:val="0"/>
        <w:numPr>
          <w:ilvl w:val="0"/>
          <w:numId w:val="2"/>
        </w:numPr>
        <w:tabs>
          <w:tab w:val="left" w:pos="720"/>
        </w:tabs>
        <w:autoSpaceDE w:val="0"/>
        <w:autoSpaceDN w:val="0"/>
        <w:adjustRightInd w:val="0"/>
        <w:spacing w:after="0" w:line="240" w:lineRule="auto"/>
        <w:jc w:val="both"/>
        <w:rPr>
          <w:rFonts w:ascii="Gill Sans MT" w:hAnsi="Gill Sans MT" w:cs="Calibri"/>
        </w:rPr>
      </w:pPr>
      <w:r w:rsidRPr="00D443CB">
        <w:rPr>
          <w:rFonts w:ascii="Gill Sans MT" w:hAnsi="Gill Sans MT" w:cs="Calibri"/>
        </w:rPr>
        <w:t xml:space="preserve">External </w:t>
      </w:r>
      <w:r w:rsidR="00FF1935" w:rsidRPr="00D443CB">
        <w:rPr>
          <w:rFonts w:ascii="Gill Sans MT" w:hAnsi="Gill Sans MT" w:cs="Calibri"/>
        </w:rPr>
        <w:t xml:space="preserve">assessment team </w:t>
      </w:r>
      <w:r w:rsidRPr="00D443CB">
        <w:rPr>
          <w:rFonts w:ascii="Gill Sans MT" w:hAnsi="Gill Sans MT" w:cs="Calibri"/>
        </w:rPr>
        <w:t xml:space="preserve">members </w:t>
      </w:r>
      <w:r w:rsidR="00FF1935" w:rsidRPr="00D443CB">
        <w:rPr>
          <w:rFonts w:ascii="Gill Sans MT" w:hAnsi="Gill Sans MT" w:cs="Calibri"/>
        </w:rPr>
        <w:t>sh</w:t>
      </w:r>
      <w:r w:rsidR="009173F5" w:rsidRPr="00D443CB">
        <w:rPr>
          <w:rFonts w:ascii="Gill Sans MT" w:hAnsi="Gill Sans MT" w:cs="Calibri"/>
        </w:rPr>
        <w:t>ould</w:t>
      </w:r>
      <w:r w:rsidR="00FF1935" w:rsidRPr="00D443CB">
        <w:rPr>
          <w:rFonts w:ascii="Gill Sans MT" w:hAnsi="Gill Sans MT" w:cs="Calibri"/>
        </w:rPr>
        <w:t xml:space="preserve"> provide brief presentations to the participants</w:t>
      </w:r>
      <w:r w:rsidR="00BB18AF" w:rsidRPr="00D443CB">
        <w:rPr>
          <w:rFonts w:ascii="Gill Sans MT" w:hAnsi="Gill Sans MT" w:cs="Calibri"/>
        </w:rPr>
        <w:t xml:space="preserve"> covering</w:t>
      </w:r>
      <w:r w:rsidR="00FF1935" w:rsidRPr="00D443CB">
        <w:rPr>
          <w:rFonts w:ascii="Gill Sans MT" w:hAnsi="Gill Sans MT" w:cs="Calibri"/>
        </w:rPr>
        <w:t>:</w:t>
      </w:r>
    </w:p>
    <w:p w14:paraId="2F7BBC82" w14:textId="4D5B1F0E" w:rsidR="00FF1935" w:rsidRPr="00D443CB" w:rsidRDefault="00BB18AF" w:rsidP="00FC763C">
      <w:pPr>
        <w:pStyle w:val="ListParagraph"/>
        <w:widowControl w:val="0"/>
        <w:numPr>
          <w:ilvl w:val="1"/>
          <w:numId w:val="4"/>
        </w:numPr>
        <w:tabs>
          <w:tab w:val="left" w:pos="720"/>
        </w:tabs>
        <w:autoSpaceDE w:val="0"/>
        <w:autoSpaceDN w:val="0"/>
        <w:adjustRightInd w:val="0"/>
        <w:spacing w:after="0" w:line="240" w:lineRule="auto"/>
        <w:jc w:val="both"/>
        <w:rPr>
          <w:rFonts w:ascii="Gill Sans MT" w:hAnsi="Gill Sans MT"/>
        </w:rPr>
      </w:pPr>
      <w:r w:rsidRPr="00D443CB">
        <w:rPr>
          <w:rFonts w:ascii="Gill Sans MT" w:hAnsi="Gill Sans MT" w:cs="Calibri"/>
        </w:rPr>
        <w:t>An o</w:t>
      </w:r>
      <w:r w:rsidR="00FF1935" w:rsidRPr="00D443CB">
        <w:rPr>
          <w:rFonts w:ascii="Gill Sans MT" w:hAnsi="Gill Sans MT" w:cs="Calibri"/>
        </w:rPr>
        <w:t xml:space="preserve">verview of </w:t>
      </w:r>
      <w:r w:rsidR="000973D1" w:rsidRPr="00D443CB">
        <w:rPr>
          <w:rFonts w:ascii="Gill Sans MT" w:hAnsi="Gill Sans MT" w:cs="Calibri"/>
        </w:rPr>
        <w:t>the international standards for TB diagnostic networks</w:t>
      </w:r>
    </w:p>
    <w:p w14:paraId="6C5DD0BD" w14:textId="11E99D4D" w:rsidR="00E03ECF" w:rsidRPr="00D443CB" w:rsidRDefault="008E065F" w:rsidP="00FC763C">
      <w:pPr>
        <w:pStyle w:val="ListParagraph"/>
        <w:widowControl w:val="0"/>
        <w:numPr>
          <w:ilvl w:val="1"/>
          <w:numId w:val="4"/>
        </w:numPr>
        <w:autoSpaceDE w:val="0"/>
        <w:autoSpaceDN w:val="0"/>
        <w:adjustRightInd w:val="0"/>
        <w:spacing w:after="0" w:line="240" w:lineRule="auto"/>
        <w:ind w:right="-20"/>
        <w:jc w:val="both"/>
        <w:rPr>
          <w:rFonts w:ascii="Gill Sans MT" w:hAnsi="Gill Sans MT" w:cs="Calibri"/>
        </w:rPr>
      </w:pPr>
      <w:r w:rsidRPr="00D443CB">
        <w:rPr>
          <w:rFonts w:ascii="Gill Sans MT" w:hAnsi="Gill Sans MT" w:cs="Calibri"/>
        </w:rPr>
        <w:t>Brief review of t</w:t>
      </w:r>
      <w:r w:rsidR="00FF1935" w:rsidRPr="00D443CB">
        <w:rPr>
          <w:rFonts w:ascii="Gill Sans MT" w:hAnsi="Gill Sans MT" w:cs="Calibri"/>
        </w:rPr>
        <w:t xml:space="preserve">he </w:t>
      </w:r>
      <w:r w:rsidR="005805FA" w:rsidRPr="00D443CB">
        <w:rPr>
          <w:rFonts w:ascii="Gill Sans MT" w:hAnsi="Gill Sans MT" w:cs="Calibri"/>
        </w:rPr>
        <w:t>TB-Net Tool</w:t>
      </w:r>
      <w:r w:rsidR="007C0D7D" w:rsidRPr="00D443CB">
        <w:rPr>
          <w:rFonts w:ascii="Gill Sans MT" w:hAnsi="Gill Sans MT" w:cs="Calibri"/>
        </w:rPr>
        <w:t xml:space="preserve"> (do not include the country’s self-assessed stages)</w:t>
      </w:r>
      <w:r w:rsidR="00E03ECF" w:rsidRPr="00D443CB">
        <w:rPr>
          <w:rFonts w:ascii="Gill Sans MT" w:hAnsi="Gill Sans MT" w:cs="Calibri"/>
        </w:rPr>
        <w:t>, capacities, components, questions, staging process</w:t>
      </w:r>
      <w:r w:rsidRPr="00D443CB">
        <w:rPr>
          <w:rFonts w:ascii="Gill Sans MT" w:hAnsi="Gill Sans MT" w:cs="Calibri"/>
        </w:rPr>
        <w:t>, and checklists of verification questions (Annex 6) (Note: all external assessors are expected to attend webinar-based training on the tool and checklists)</w:t>
      </w:r>
    </w:p>
    <w:p w14:paraId="259BBAAA" w14:textId="5A408F38" w:rsidR="00FF1935" w:rsidRPr="00D443CB" w:rsidRDefault="00E03ECF" w:rsidP="00FC763C">
      <w:pPr>
        <w:pStyle w:val="ListParagraph"/>
        <w:widowControl w:val="0"/>
        <w:numPr>
          <w:ilvl w:val="1"/>
          <w:numId w:val="4"/>
        </w:numPr>
        <w:autoSpaceDE w:val="0"/>
        <w:autoSpaceDN w:val="0"/>
        <w:adjustRightInd w:val="0"/>
        <w:spacing w:after="0" w:line="240" w:lineRule="auto"/>
        <w:ind w:right="-20"/>
        <w:jc w:val="both"/>
        <w:rPr>
          <w:rFonts w:ascii="Gill Sans MT" w:hAnsi="Gill Sans MT" w:cs="Calibri"/>
        </w:rPr>
      </w:pPr>
      <w:r w:rsidRPr="00D443CB">
        <w:rPr>
          <w:rFonts w:ascii="Gill Sans MT" w:hAnsi="Gill Sans MT" w:cs="Calibri"/>
        </w:rPr>
        <w:t>Thematic areas to address and topic-specific checklists (Annex 7) to be used</w:t>
      </w:r>
    </w:p>
    <w:p w14:paraId="076E3120" w14:textId="5573B9F8" w:rsidR="00B66ABB" w:rsidRPr="00D443CB" w:rsidRDefault="00FF1935" w:rsidP="00FC763C">
      <w:pPr>
        <w:pStyle w:val="ListParagraph"/>
        <w:widowControl w:val="0"/>
        <w:numPr>
          <w:ilvl w:val="1"/>
          <w:numId w:val="4"/>
        </w:numPr>
        <w:autoSpaceDE w:val="0"/>
        <w:autoSpaceDN w:val="0"/>
        <w:adjustRightInd w:val="0"/>
        <w:spacing w:after="0" w:line="240" w:lineRule="auto"/>
        <w:ind w:right="-20"/>
        <w:jc w:val="both"/>
        <w:rPr>
          <w:rFonts w:ascii="Gill Sans MT" w:hAnsi="Gill Sans MT" w:cs="Calibri"/>
        </w:rPr>
      </w:pPr>
      <w:r w:rsidRPr="00D443CB">
        <w:rPr>
          <w:rFonts w:ascii="Gill Sans MT" w:hAnsi="Gill Sans MT" w:cs="Calibri"/>
        </w:rPr>
        <w:t>The assessment process</w:t>
      </w:r>
      <w:r w:rsidR="007C0D7D" w:rsidRPr="00D443CB">
        <w:rPr>
          <w:rFonts w:ascii="Gill Sans MT" w:hAnsi="Gill Sans MT" w:cs="Calibri"/>
        </w:rPr>
        <w:t>,</w:t>
      </w:r>
      <w:r w:rsidRPr="00D443CB">
        <w:rPr>
          <w:rFonts w:ascii="Gill Sans MT" w:hAnsi="Gill Sans MT" w:cs="Calibri"/>
        </w:rPr>
        <w:t xml:space="preserve"> the specific agenda</w:t>
      </w:r>
      <w:r w:rsidR="007C0D7D" w:rsidRPr="00D443CB">
        <w:rPr>
          <w:rFonts w:ascii="Gill Sans MT" w:hAnsi="Gill Sans MT" w:cs="Calibri"/>
        </w:rPr>
        <w:t xml:space="preserve"> and logistics</w:t>
      </w:r>
    </w:p>
    <w:p w14:paraId="133087E8" w14:textId="314B4F15" w:rsidR="00B66ABB" w:rsidRPr="00D443CB" w:rsidRDefault="008E065F" w:rsidP="00FC763C">
      <w:pPr>
        <w:pStyle w:val="ListParagraph"/>
        <w:widowControl w:val="0"/>
        <w:numPr>
          <w:ilvl w:val="0"/>
          <w:numId w:val="4"/>
        </w:numPr>
        <w:autoSpaceDE w:val="0"/>
        <w:autoSpaceDN w:val="0"/>
        <w:adjustRightInd w:val="0"/>
        <w:spacing w:after="0" w:line="240" w:lineRule="auto"/>
        <w:jc w:val="both"/>
        <w:rPr>
          <w:rFonts w:ascii="Gill Sans MT" w:hAnsi="Gill Sans MT" w:cs="Calibri"/>
        </w:rPr>
      </w:pPr>
      <w:r w:rsidRPr="00D443CB">
        <w:rPr>
          <w:rFonts w:ascii="Gill Sans MT" w:hAnsi="Gill Sans MT" w:cs="Calibri"/>
        </w:rPr>
        <w:t>A designated member of the external assessment team will present</w:t>
      </w:r>
      <w:r w:rsidR="00B66ABB" w:rsidRPr="00D443CB">
        <w:rPr>
          <w:rFonts w:ascii="Gill Sans MT" w:hAnsi="Gill Sans MT" w:cs="Calibri"/>
        </w:rPr>
        <w:t xml:space="preserve"> the pre-assessment data report.</w:t>
      </w:r>
    </w:p>
    <w:p w14:paraId="47A1AFCE" w14:textId="20D1F99F" w:rsidR="00FF1935" w:rsidRPr="00D443CB" w:rsidRDefault="00F12CD3" w:rsidP="00FC763C">
      <w:pPr>
        <w:pStyle w:val="ListParagraph"/>
        <w:widowControl w:val="0"/>
        <w:numPr>
          <w:ilvl w:val="0"/>
          <w:numId w:val="4"/>
        </w:numPr>
        <w:autoSpaceDE w:val="0"/>
        <w:autoSpaceDN w:val="0"/>
        <w:adjustRightInd w:val="0"/>
        <w:spacing w:after="0" w:line="240" w:lineRule="auto"/>
        <w:jc w:val="both"/>
        <w:rPr>
          <w:rFonts w:ascii="Gill Sans MT" w:hAnsi="Gill Sans MT"/>
        </w:rPr>
      </w:pPr>
      <w:r w:rsidRPr="00D443CB">
        <w:rPr>
          <w:rFonts w:ascii="Gill Sans MT" w:hAnsi="Gill Sans MT" w:cs="Calibri"/>
        </w:rPr>
        <w:t xml:space="preserve">The </w:t>
      </w:r>
      <w:r w:rsidR="009436E8" w:rsidRPr="00D443CB">
        <w:rPr>
          <w:rFonts w:ascii="Gill Sans MT" w:hAnsi="Gill Sans MT" w:cs="Calibri"/>
        </w:rPr>
        <w:t xml:space="preserve">joint </w:t>
      </w:r>
      <w:r w:rsidRPr="00D443CB">
        <w:rPr>
          <w:rFonts w:ascii="Gill Sans MT" w:hAnsi="Gill Sans MT" w:cs="Calibri"/>
        </w:rPr>
        <w:t>a</w:t>
      </w:r>
      <w:r w:rsidR="00FF1935" w:rsidRPr="00D443CB">
        <w:rPr>
          <w:rFonts w:ascii="Gill Sans MT" w:hAnsi="Gill Sans MT" w:cs="Calibri"/>
        </w:rPr>
        <w:t xml:space="preserve">ssessment team </w:t>
      </w:r>
      <w:r w:rsidR="009436E8" w:rsidRPr="00D443CB">
        <w:rPr>
          <w:rFonts w:ascii="Gill Sans MT" w:hAnsi="Gill Sans MT" w:cs="Calibri"/>
        </w:rPr>
        <w:t>(external and internal assessors)</w:t>
      </w:r>
      <w:r w:rsidR="00C14EA2" w:rsidRPr="00D443CB">
        <w:rPr>
          <w:rFonts w:ascii="Gill Sans MT" w:hAnsi="Gill Sans MT" w:cs="Calibri"/>
        </w:rPr>
        <w:t xml:space="preserve"> will </w:t>
      </w:r>
      <w:r w:rsidR="00FF1935" w:rsidRPr="00D443CB">
        <w:rPr>
          <w:rFonts w:ascii="Gill Sans MT" w:hAnsi="Gill Sans MT" w:cs="Calibri"/>
        </w:rPr>
        <w:t xml:space="preserve">review the </w:t>
      </w:r>
      <w:r w:rsidR="00A678B5" w:rsidRPr="00D443CB">
        <w:rPr>
          <w:rFonts w:ascii="Gill Sans MT" w:hAnsi="Gill Sans MT" w:cs="Calibri"/>
        </w:rPr>
        <w:t>self-assessed</w:t>
      </w:r>
      <w:r w:rsidR="00FF1935" w:rsidRPr="00D443CB">
        <w:rPr>
          <w:rFonts w:ascii="Gill Sans MT" w:hAnsi="Gill Sans MT" w:cs="Calibri"/>
        </w:rPr>
        <w:t xml:space="preserve"> </w:t>
      </w:r>
      <w:r w:rsidR="005805FA" w:rsidRPr="00D443CB">
        <w:rPr>
          <w:rFonts w:ascii="Gill Sans MT" w:hAnsi="Gill Sans MT" w:cs="Calibri"/>
        </w:rPr>
        <w:t>TB-Net Tool</w:t>
      </w:r>
      <w:r w:rsidR="009436E8" w:rsidRPr="00D443CB">
        <w:rPr>
          <w:rFonts w:ascii="Gill Sans MT" w:hAnsi="Gill Sans MT" w:cs="Calibri"/>
        </w:rPr>
        <w:t xml:space="preserve"> to</w:t>
      </w:r>
      <w:r w:rsidR="000025A5" w:rsidRPr="00D443CB">
        <w:rPr>
          <w:rFonts w:ascii="Gill Sans MT" w:hAnsi="Gill Sans MT" w:cs="Calibri"/>
        </w:rPr>
        <w:t xml:space="preserve"> identify areas, questions and responses to be verified</w:t>
      </w:r>
      <w:r w:rsidR="00917BE1" w:rsidRPr="00D443CB">
        <w:rPr>
          <w:rFonts w:ascii="Gill Sans MT" w:hAnsi="Gill Sans MT" w:cs="Calibri"/>
        </w:rPr>
        <w:t xml:space="preserve"> during the laboratory visits</w:t>
      </w:r>
      <w:r w:rsidR="006A15E7" w:rsidRPr="00D443CB">
        <w:rPr>
          <w:rFonts w:ascii="Gill Sans MT" w:hAnsi="Gill Sans MT" w:cs="Calibri"/>
        </w:rPr>
        <w:t>.</w:t>
      </w:r>
    </w:p>
    <w:p w14:paraId="2327ECE9" w14:textId="77777777" w:rsidR="00FF1935" w:rsidRPr="00D443CB" w:rsidRDefault="00FF1935" w:rsidP="008F79FE">
      <w:pPr>
        <w:widowControl w:val="0"/>
        <w:autoSpaceDE w:val="0"/>
        <w:autoSpaceDN w:val="0"/>
        <w:adjustRightInd w:val="0"/>
        <w:spacing w:after="19" w:line="240" w:lineRule="auto"/>
        <w:jc w:val="both"/>
        <w:rPr>
          <w:rFonts w:ascii="Gill Sans MT" w:hAnsi="Gill Sans MT" w:cstheme="minorHAnsi"/>
        </w:rPr>
      </w:pPr>
    </w:p>
    <w:p w14:paraId="5388F5B8" w14:textId="325E9137" w:rsidR="00962F6E" w:rsidRPr="00D443CB" w:rsidRDefault="00FF1935" w:rsidP="008F79FE">
      <w:pPr>
        <w:widowControl w:val="0"/>
        <w:autoSpaceDE w:val="0"/>
        <w:autoSpaceDN w:val="0"/>
        <w:adjustRightInd w:val="0"/>
        <w:spacing w:after="0" w:line="240" w:lineRule="auto"/>
        <w:ind w:right="-20"/>
        <w:jc w:val="both"/>
        <w:rPr>
          <w:rFonts w:ascii="Gill Sans MT" w:hAnsi="Gill Sans MT" w:cstheme="minorHAnsi"/>
          <w:bCs/>
          <w:i/>
        </w:rPr>
      </w:pPr>
      <w:r w:rsidRPr="00D443CB">
        <w:rPr>
          <w:rFonts w:ascii="Gill Sans MT" w:hAnsi="Gill Sans MT" w:cstheme="minorHAnsi"/>
          <w:bCs/>
          <w:i/>
        </w:rPr>
        <w:t>Days</w:t>
      </w:r>
      <w:r w:rsidRPr="00D443CB">
        <w:rPr>
          <w:rFonts w:ascii="Gill Sans MT" w:hAnsi="Gill Sans MT" w:cstheme="minorHAnsi"/>
          <w:i/>
        </w:rPr>
        <w:t xml:space="preserve"> </w:t>
      </w:r>
      <w:r w:rsidRPr="00D443CB">
        <w:rPr>
          <w:rFonts w:ascii="Gill Sans MT" w:hAnsi="Gill Sans MT" w:cstheme="minorHAnsi"/>
          <w:bCs/>
          <w:i/>
        </w:rPr>
        <w:t>3</w:t>
      </w:r>
      <w:r w:rsidR="00117C78" w:rsidRPr="00D443CB">
        <w:rPr>
          <w:rFonts w:ascii="Gill Sans MT" w:hAnsi="Gill Sans MT" w:cstheme="minorHAnsi"/>
          <w:bCs/>
          <w:i/>
        </w:rPr>
        <w:t>–</w:t>
      </w:r>
      <w:r w:rsidR="00BE2B99" w:rsidRPr="00D443CB">
        <w:rPr>
          <w:rFonts w:ascii="Gill Sans MT" w:hAnsi="Gill Sans MT" w:cstheme="minorHAnsi"/>
          <w:bCs/>
          <w:i/>
        </w:rPr>
        <w:t>6</w:t>
      </w:r>
      <w:r w:rsidR="00117C78" w:rsidRPr="00D443CB">
        <w:rPr>
          <w:rFonts w:ascii="Gill Sans MT" w:hAnsi="Gill Sans MT" w:cstheme="minorHAnsi"/>
          <w:bCs/>
          <w:i/>
        </w:rPr>
        <w:t>: Verification visits</w:t>
      </w:r>
      <w:r w:rsidR="00437BAA" w:rsidRPr="00D443CB">
        <w:rPr>
          <w:rFonts w:ascii="Gill Sans MT" w:hAnsi="Gill Sans MT" w:cstheme="minorHAnsi"/>
          <w:bCs/>
          <w:i/>
        </w:rPr>
        <w:t xml:space="preserve"> and interviews</w:t>
      </w:r>
    </w:p>
    <w:p w14:paraId="5ABB8A6A" w14:textId="4BCE899D" w:rsidR="00412466" w:rsidRPr="00D443CB" w:rsidRDefault="00962F6E" w:rsidP="008F79FE">
      <w:pPr>
        <w:widowControl w:val="0"/>
        <w:autoSpaceDE w:val="0"/>
        <w:autoSpaceDN w:val="0"/>
        <w:adjustRightInd w:val="0"/>
        <w:spacing w:after="0" w:line="240" w:lineRule="auto"/>
        <w:ind w:left="1008" w:right="432"/>
        <w:jc w:val="both"/>
        <w:rPr>
          <w:rFonts w:ascii="Gill Sans MT" w:hAnsi="Gill Sans MT" w:cstheme="minorBidi"/>
        </w:rPr>
      </w:pPr>
      <w:r w:rsidRPr="00D443CB">
        <w:rPr>
          <w:rFonts w:ascii="Gill Sans MT" w:hAnsi="Gill Sans MT" w:cstheme="minorBidi"/>
          <w:b/>
        </w:rPr>
        <w:t>Note</w:t>
      </w:r>
      <w:r w:rsidRPr="00D443CB">
        <w:rPr>
          <w:rFonts w:ascii="Gill Sans MT" w:hAnsi="Gill Sans MT" w:cstheme="minorBidi"/>
        </w:rPr>
        <w:t xml:space="preserve">: The time required for </w:t>
      </w:r>
      <w:r w:rsidR="00117C78" w:rsidRPr="00D443CB">
        <w:rPr>
          <w:rFonts w:ascii="Gill Sans MT" w:hAnsi="Gill Sans MT" w:cstheme="minorBidi"/>
        </w:rPr>
        <w:t>site</w:t>
      </w:r>
      <w:r w:rsidRPr="00D443CB">
        <w:rPr>
          <w:rFonts w:ascii="Gill Sans MT" w:hAnsi="Gill Sans MT" w:cstheme="minorBidi"/>
        </w:rPr>
        <w:t xml:space="preserve"> visits will depend on the number of sites to visit and travel logistics</w:t>
      </w:r>
      <w:r w:rsidR="005063E8" w:rsidRPr="00D443CB">
        <w:rPr>
          <w:rFonts w:ascii="Gill Sans MT" w:hAnsi="Gill Sans MT" w:cstheme="minorBidi"/>
        </w:rPr>
        <w:t xml:space="preserve"> (See Annex </w:t>
      </w:r>
      <w:r w:rsidR="00CC77C2" w:rsidRPr="00D443CB">
        <w:rPr>
          <w:rFonts w:ascii="Gill Sans MT" w:hAnsi="Gill Sans MT" w:cstheme="minorBidi"/>
        </w:rPr>
        <w:t>10</w:t>
      </w:r>
      <w:r w:rsidR="005063E8" w:rsidRPr="00D443CB">
        <w:rPr>
          <w:rFonts w:ascii="Gill Sans MT" w:hAnsi="Gill Sans MT" w:cstheme="minorBidi"/>
        </w:rPr>
        <w:t xml:space="preserve"> for examples of site visit schedule</w:t>
      </w:r>
      <w:r w:rsidR="005328B0" w:rsidRPr="00D443CB">
        <w:rPr>
          <w:rFonts w:ascii="Gill Sans MT" w:hAnsi="Gill Sans MT" w:cstheme="minorBidi"/>
        </w:rPr>
        <w:t>s</w:t>
      </w:r>
      <w:r w:rsidR="005063E8" w:rsidRPr="00D443CB">
        <w:rPr>
          <w:rFonts w:ascii="Gill Sans MT" w:hAnsi="Gill Sans MT" w:cstheme="minorBidi"/>
        </w:rPr>
        <w:t>)</w:t>
      </w:r>
      <w:r w:rsidRPr="00D443CB">
        <w:rPr>
          <w:rFonts w:ascii="Gill Sans MT" w:hAnsi="Gill Sans MT" w:cstheme="minorBidi"/>
        </w:rPr>
        <w:t>.</w:t>
      </w:r>
      <w:r w:rsidR="005063E8" w:rsidRPr="00D443CB">
        <w:rPr>
          <w:rFonts w:ascii="Gill Sans MT" w:hAnsi="Gill Sans MT" w:cstheme="minorBidi"/>
        </w:rPr>
        <w:t xml:space="preserve"> </w:t>
      </w:r>
      <w:r w:rsidR="00412466" w:rsidRPr="00D443CB">
        <w:rPr>
          <w:rFonts w:ascii="Gill Sans MT" w:hAnsi="Gill Sans MT" w:cstheme="minorBidi"/>
        </w:rPr>
        <w:t xml:space="preserve">Also, for a large program or country, it may be necessary to have multiple assessment teams. Each team should have </w:t>
      </w:r>
      <w:r w:rsidR="001D6726" w:rsidRPr="00D443CB">
        <w:rPr>
          <w:rFonts w:ascii="Gill Sans MT" w:hAnsi="Gill Sans MT" w:cstheme="minorBidi"/>
        </w:rPr>
        <w:t xml:space="preserve">at least two external team members (one </w:t>
      </w:r>
      <w:r w:rsidR="009436E8" w:rsidRPr="00D443CB">
        <w:rPr>
          <w:rFonts w:ascii="Gill Sans MT" w:hAnsi="Gill Sans MT" w:cstheme="minorBidi"/>
        </w:rPr>
        <w:t>designated</w:t>
      </w:r>
      <w:r w:rsidR="001D6726" w:rsidRPr="00D443CB">
        <w:rPr>
          <w:rFonts w:ascii="Gill Sans MT" w:hAnsi="Gill Sans MT" w:cstheme="minorBidi"/>
        </w:rPr>
        <w:t xml:space="preserve"> as </w:t>
      </w:r>
      <w:r w:rsidR="00C35E0A" w:rsidRPr="00D443CB">
        <w:rPr>
          <w:rFonts w:ascii="Gill Sans MT" w:hAnsi="Gill Sans MT" w:cstheme="minorBidi"/>
        </w:rPr>
        <w:t>the</w:t>
      </w:r>
      <w:r w:rsidR="00412466" w:rsidRPr="00D443CB">
        <w:rPr>
          <w:rFonts w:ascii="Gill Sans MT" w:hAnsi="Gill Sans MT" w:cstheme="minorBidi"/>
        </w:rPr>
        <w:t xml:space="preserve"> team leader</w:t>
      </w:r>
      <w:r w:rsidR="00C35E0A" w:rsidRPr="00D443CB">
        <w:rPr>
          <w:rFonts w:ascii="Gill Sans MT" w:hAnsi="Gill Sans MT" w:cstheme="minorBidi"/>
        </w:rPr>
        <w:t>)</w:t>
      </w:r>
      <w:r w:rsidR="00412466" w:rsidRPr="00D443CB">
        <w:rPr>
          <w:rFonts w:ascii="Gill Sans MT" w:hAnsi="Gill Sans MT" w:cstheme="minorBidi"/>
        </w:rPr>
        <w:t xml:space="preserve"> and </w:t>
      </w:r>
      <w:r w:rsidR="009026D3" w:rsidRPr="00D443CB">
        <w:rPr>
          <w:rFonts w:ascii="Gill Sans MT" w:hAnsi="Gill Sans MT" w:cstheme="minorBidi"/>
        </w:rPr>
        <w:t xml:space="preserve">an NTP liaison and </w:t>
      </w:r>
      <w:r w:rsidR="00412466" w:rsidRPr="00D443CB">
        <w:rPr>
          <w:rFonts w:ascii="Gill Sans MT" w:hAnsi="Gill Sans MT" w:cstheme="minorBidi"/>
        </w:rPr>
        <w:t xml:space="preserve">be assigned to a specific region of the country for the verification visits. </w:t>
      </w:r>
      <w:r w:rsidR="007B7A77" w:rsidRPr="00D443CB">
        <w:rPr>
          <w:rFonts w:ascii="Gill Sans MT" w:hAnsi="Gill Sans MT" w:cstheme="minorBidi"/>
        </w:rPr>
        <w:t>The NTP liaison would be responsible for ensuring that sites are prepared for the visits and interviews</w:t>
      </w:r>
      <w:r w:rsidR="001E69F2" w:rsidRPr="00D443CB">
        <w:rPr>
          <w:rFonts w:ascii="Gill Sans MT" w:hAnsi="Gill Sans MT" w:cstheme="minorBidi"/>
        </w:rPr>
        <w:t>;</w:t>
      </w:r>
      <w:r w:rsidR="007B7A77" w:rsidRPr="00D443CB">
        <w:rPr>
          <w:rFonts w:ascii="Gill Sans MT" w:hAnsi="Gill Sans MT" w:cstheme="minorBidi"/>
        </w:rPr>
        <w:t xml:space="preserve"> </w:t>
      </w:r>
      <w:r w:rsidR="001E69F2" w:rsidRPr="00D443CB">
        <w:rPr>
          <w:rFonts w:ascii="Gill Sans MT" w:hAnsi="Gill Sans MT" w:cstheme="minorBidi"/>
        </w:rPr>
        <w:t>facilitating communications between the team and sites; and addressing logistical</w:t>
      </w:r>
      <w:r w:rsidR="00213FEE" w:rsidRPr="00D443CB">
        <w:rPr>
          <w:rFonts w:ascii="Gill Sans MT" w:hAnsi="Gill Sans MT" w:cstheme="minorBidi"/>
        </w:rPr>
        <w:t xml:space="preserve"> issues</w:t>
      </w:r>
      <w:r w:rsidR="001E69F2" w:rsidRPr="00D443CB">
        <w:rPr>
          <w:rFonts w:ascii="Gill Sans MT" w:hAnsi="Gill Sans MT" w:cstheme="minorBidi"/>
        </w:rPr>
        <w:t>.</w:t>
      </w:r>
      <w:r w:rsidR="007B7A77" w:rsidRPr="00D443CB">
        <w:rPr>
          <w:rFonts w:ascii="Gill Sans MT" w:hAnsi="Gill Sans MT" w:cstheme="minorBidi"/>
        </w:rPr>
        <w:t xml:space="preserve"> </w:t>
      </w:r>
      <w:r w:rsidR="00412466" w:rsidRPr="00D443CB">
        <w:rPr>
          <w:rFonts w:ascii="Gill Sans MT" w:hAnsi="Gill Sans MT" w:cstheme="minorBidi"/>
        </w:rPr>
        <w:t>The teams should be comprised of individuals with expertise in the areas required for the verification visits.</w:t>
      </w:r>
      <w:r w:rsidR="009436E8" w:rsidRPr="00D443CB">
        <w:rPr>
          <w:rFonts w:ascii="Gill Sans MT" w:hAnsi="Gill Sans MT" w:cstheme="minorBidi"/>
        </w:rPr>
        <w:t xml:space="preserve"> The assessment team may </w:t>
      </w:r>
      <w:r w:rsidR="006F74BC" w:rsidRPr="00D443CB">
        <w:rPr>
          <w:rFonts w:ascii="Gill Sans MT" w:hAnsi="Gill Sans MT" w:cstheme="minorBidi"/>
        </w:rPr>
        <w:t>also i</w:t>
      </w:r>
      <w:r w:rsidR="009436E8" w:rsidRPr="00D443CB">
        <w:rPr>
          <w:rFonts w:ascii="Gill Sans MT" w:hAnsi="Gill Sans MT" w:cstheme="minorBidi"/>
        </w:rPr>
        <w:t>nclude internal assessors and national experts.</w:t>
      </w:r>
    </w:p>
    <w:p w14:paraId="01F5D471" w14:textId="51A30C87" w:rsidR="00327549"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During the pre-assessment process</w:t>
      </w:r>
      <w:r w:rsidR="002579C3" w:rsidRPr="00D443CB">
        <w:rPr>
          <w:rFonts w:ascii="Gill Sans MT" w:hAnsi="Gill Sans MT" w:cstheme="minorHAnsi"/>
        </w:rPr>
        <w:t>,</w:t>
      </w:r>
      <w:r w:rsidRPr="00D443CB">
        <w:rPr>
          <w:rFonts w:ascii="Gill Sans MT" w:hAnsi="Gill Sans MT" w:cstheme="minorHAnsi"/>
        </w:rPr>
        <w:t xml:space="preserve"> </w:t>
      </w:r>
      <w:r w:rsidR="00121267" w:rsidRPr="00D443CB">
        <w:rPr>
          <w:rFonts w:ascii="Gill Sans MT" w:hAnsi="Gill Sans MT" w:cstheme="minorHAnsi"/>
        </w:rPr>
        <w:t>diagnostic facilities</w:t>
      </w:r>
      <w:r w:rsidRPr="00D443CB">
        <w:rPr>
          <w:rFonts w:ascii="Gill Sans MT" w:hAnsi="Gill Sans MT" w:cstheme="minorHAnsi"/>
        </w:rPr>
        <w:t xml:space="preserve"> from each tier </w:t>
      </w:r>
      <w:r w:rsidR="00DC3D0B" w:rsidRPr="00D443CB">
        <w:rPr>
          <w:rFonts w:ascii="Gill Sans MT" w:hAnsi="Gill Sans MT" w:cstheme="minorHAnsi"/>
        </w:rPr>
        <w:t xml:space="preserve">should have </w:t>
      </w:r>
      <w:r w:rsidR="00117C78" w:rsidRPr="00D443CB">
        <w:rPr>
          <w:rFonts w:ascii="Gill Sans MT" w:hAnsi="Gill Sans MT" w:cstheme="minorHAnsi"/>
        </w:rPr>
        <w:t xml:space="preserve">been selected for the verification process. </w:t>
      </w:r>
      <w:r w:rsidR="005E00FD" w:rsidRPr="00D443CB">
        <w:rPr>
          <w:rFonts w:ascii="Gill Sans MT" w:hAnsi="Gill Sans MT" w:cstheme="minorHAnsi"/>
        </w:rPr>
        <w:t>Program</w:t>
      </w:r>
      <w:r w:rsidR="00121267" w:rsidRPr="00D443CB">
        <w:rPr>
          <w:rFonts w:ascii="Gill Sans MT" w:hAnsi="Gill Sans MT" w:cstheme="minorHAnsi"/>
        </w:rPr>
        <w:t xml:space="preserve"> </w:t>
      </w:r>
      <w:r w:rsidR="001F40ED" w:rsidRPr="00D443CB">
        <w:rPr>
          <w:rFonts w:ascii="Gill Sans MT" w:hAnsi="Gill Sans MT" w:cstheme="minorHAnsi"/>
        </w:rPr>
        <w:t>(e.g., District TB Officer</w:t>
      </w:r>
      <w:r w:rsidR="00710169" w:rsidRPr="00D443CB">
        <w:rPr>
          <w:rFonts w:ascii="Gill Sans MT" w:hAnsi="Gill Sans MT" w:cstheme="minorHAnsi"/>
        </w:rPr>
        <w:t xml:space="preserve"> or Regional Laboratory Supervisor</w:t>
      </w:r>
      <w:r w:rsidR="001F40ED" w:rsidRPr="00D443CB">
        <w:rPr>
          <w:rFonts w:ascii="Gill Sans MT" w:hAnsi="Gill Sans MT" w:cstheme="minorHAnsi"/>
        </w:rPr>
        <w:t xml:space="preserve">) </w:t>
      </w:r>
      <w:r w:rsidR="00121267" w:rsidRPr="00D443CB">
        <w:rPr>
          <w:rFonts w:ascii="Gill Sans MT" w:hAnsi="Gill Sans MT" w:cstheme="minorHAnsi"/>
        </w:rPr>
        <w:t xml:space="preserve">and clinical staff </w:t>
      </w:r>
      <w:r w:rsidR="005E00FD" w:rsidRPr="00D443CB">
        <w:rPr>
          <w:rFonts w:ascii="Gill Sans MT" w:hAnsi="Gill Sans MT" w:cstheme="minorHAnsi"/>
        </w:rPr>
        <w:t xml:space="preserve">to be interviewed will also have been identified. </w:t>
      </w:r>
      <w:r w:rsidRPr="00D443CB">
        <w:rPr>
          <w:rFonts w:ascii="Gill Sans MT" w:hAnsi="Gill Sans MT" w:cstheme="minorHAnsi"/>
        </w:rPr>
        <w:t>The M</w:t>
      </w:r>
      <w:r w:rsidR="00E00815" w:rsidRPr="00D443CB">
        <w:rPr>
          <w:rFonts w:ascii="Gill Sans MT" w:hAnsi="Gill Sans MT" w:cstheme="minorHAnsi"/>
        </w:rPr>
        <w:t>o</w:t>
      </w:r>
      <w:r w:rsidRPr="00D443CB">
        <w:rPr>
          <w:rFonts w:ascii="Gill Sans MT" w:hAnsi="Gill Sans MT" w:cstheme="minorHAnsi"/>
        </w:rPr>
        <w:t>H</w:t>
      </w:r>
      <w:r w:rsidR="00D0288D" w:rsidRPr="00D443CB">
        <w:rPr>
          <w:rFonts w:ascii="Gill Sans MT" w:hAnsi="Gill Sans MT" w:cstheme="minorHAnsi"/>
        </w:rPr>
        <w:t>,</w:t>
      </w:r>
      <w:r w:rsidRPr="00D443CB">
        <w:rPr>
          <w:rFonts w:ascii="Gill Sans MT" w:hAnsi="Gill Sans MT" w:cstheme="minorHAnsi"/>
        </w:rPr>
        <w:t xml:space="preserve"> </w:t>
      </w:r>
      <w:r w:rsidR="00BE2B99" w:rsidRPr="00D443CB">
        <w:rPr>
          <w:rFonts w:ascii="Gill Sans MT" w:hAnsi="Gill Sans MT" w:cstheme="minorHAnsi"/>
        </w:rPr>
        <w:t xml:space="preserve">in coordination with various stakeholders, </w:t>
      </w:r>
      <w:r w:rsidRPr="00D443CB">
        <w:rPr>
          <w:rFonts w:ascii="Gill Sans MT" w:hAnsi="Gill Sans MT" w:cstheme="minorHAnsi"/>
        </w:rPr>
        <w:t xml:space="preserve">will </w:t>
      </w:r>
      <w:r w:rsidR="00BE2B99" w:rsidRPr="00D443CB">
        <w:rPr>
          <w:rFonts w:ascii="Gill Sans MT" w:hAnsi="Gill Sans MT" w:cstheme="minorHAnsi"/>
        </w:rPr>
        <w:t>facilitate</w:t>
      </w:r>
      <w:r w:rsidRPr="00D443CB">
        <w:rPr>
          <w:rFonts w:ascii="Gill Sans MT" w:hAnsi="Gill Sans MT" w:cstheme="minorHAnsi"/>
        </w:rPr>
        <w:t xml:space="preserve"> the </w:t>
      </w:r>
      <w:r w:rsidR="0018102A" w:rsidRPr="00D443CB">
        <w:rPr>
          <w:rFonts w:ascii="Gill Sans MT" w:hAnsi="Gill Sans MT" w:cstheme="minorHAnsi"/>
        </w:rPr>
        <w:t xml:space="preserve">visits to the selected </w:t>
      </w:r>
      <w:r w:rsidR="00C82BEB" w:rsidRPr="00D443CB">
        <w:rPr>
          <w:rFonts w:ascii="Gill Sans MT" w:hAnsi="Gill Sans MT" w:cstheme="minorHAnsi"/>
        </w:rPr>
        <w:t>facilities</w:t>
      </w:r>
      <w:r w:rsidR="001F40ED" w:rsidRPr="00D443CB">
        <w:rPr>
          <w:rFonts w:ascii="Gill Sans MT" w:hAnsi="Gill Sans MT" w:cstheme="minorHAnsi"/>
        </w:rPr>
        <w:t xml:space="preserve"> and program staff</w:t>
      </w:r>
      <w:r w:rsidR="0018102A" w:rsidRPr="00D443CB">
        <w:rPr>
          <w:rFonts w:ascii="Gill Sans MT" w:hAnsi="Gill Sans MT" w:cstheme="minorHAnsi"/>
        </w:rPr>
        <w:t xml:space="preserve"> by the site-visit team (members of the external assessment team</w:t>
      </w:r>
      <w:r w:rsidR="0064029A" w:rsidRPr="00D443CB">
        <w:rPr>
          <w:rFonts w:ascii="Gill Sans MT" w:hAnsi="Gill Sans MT" w:cstheme="minorHAnsi"/>
        </w:rPr>
        <w:t xml:space="preserve"> </w:t>
      </w:r>
      <w:r w:rsidR="002820E9" w:rsidRPr="00D443CB">
        <w:rPr>
          <w:rFonts w:ascii="Gill Sans MT" w:hAnsi="Gill Sans MT" w:cstheme="minorHAnsi"/>
        </w:rPr>
        <w:t>and in-country</w:t>
      </w:r>
      <w:r w:rsidR="0064029A" w:rsidRPr="00D443CB">
        <w:rPr>
          <w:rFonts w:ascii="Gill Sans MT" w:hAnsi="Gill Sans MT" w:cstheme="minorHAnsi"/>
        </w:rPr>
        <w:t xml:space="preserve"> representatives</w:t>
      </w:r>
      <w:r w:rsidR="007705E9" w:rsidRPr="00D443CB">
        <w:rPr>
          <w:rFonts w:ascii="Gill Sans MT" w:hAnsi="Gill Sans MT" w:cstheme="minorHAnsi"/>
        </w:rPr>
        <w:t>)</w:t>
      </w:r>
      <w:r w:rsidRPr="00D443CB">
        <w:rPr>
          <w:rFonts w:ascii="Gill Sans MT" w:hAnsi="Gill Sans MT" w:cstheme="minorHAnsi"/>
        </w:rPr>
        <w:t xml:space="preserve">. </w:t>
      </w:r>
    </w:p>
    <w:p w14:paraId="4EAD3922" w14:textId="4FF3FBAC" w:rsidR="00FF1935" w:rsidRPr="00D443CB" w:rsidRDefault="002820E9"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T</w:t>
      </w:r>
      <w:r w:rsidR="00FF1935" w:rsidRPr="00D443CB">
        <w:rPr>
          <w:rFonts w:ascii="Gill Sans MT" w:hAnsi="Gill Sans MT" w:cstheme="minorHAnsi"/>
        </w:rPr>
        <w:t xml:space="preserve">he assessment team </w:t>
      </w:r>
      <w:r w:rsidRPr="00D443CB">
        <w:rPr>
          <w:rFonts w:ascii="Gill Sans MT" w:hAnsi="Gill Sans MT" w:cstheme="minorHAnsi"/>
        </w:rPr>
        <w:t xml:space="preserve">will </w:t>
      </w:r>
      <w:r w:rsidR="00FF1935" w:rsidRPr="00D443CB">
        <w:rPr>
          <w:rFonts w:ascii="Gill Sans MT" w:hAnsi="Gill Sans MT" w:cstheme="minorHAnsi"/>
        </w:rPr>
        <w:t xml:space="preserve">visit the </w:t>
      </w:r>
      <w:r w:rsidR="006011D2" w:rsidRPr="00D443CB">
        <w:rPr>
          <w:rFonts w:ascii="Gill Sans MT" w:hAnsi="Gill Sans MT" w:cstheme="minorHAnsi"/>
        </w:rPr>
        <w:t>selected</w:t>
      </w:r>
      <w:r w:rsidR="00FF1935" w:rsidRPr="00D443CB">
        <w:rPr>
          <w:rFonts w:ascii="Gill Sans MT" w:hAnsi="Gill Sans MT" w:cstheme="minorHAnsi"/>
        </w:rPr>
        <w:t xml:space="preserve"> laborator</w:t>
      </w:r>
      <w:r w:rsidR="00931A34" w:rsidRPr="00D443CB">
        <w:rPr>
          <w:rFonts w:ascii="Gill Sans MT" w:hAnsi="Gill Sans MT" w:cstheme="minorHAnsi"/>
        </w:rPr>
        <w:t>y, program and clinical</w:t>
      </w:r>
      <w:r w:rsidR="001F40ED" w:rsidRPr="00D443CB">
        <w:rPr>
          <w:rFonts w:ascii="Gill Sans MT" w:hAnsi="Gill Sans MT" w:cstheme="minorHAnsi"/>
        </w:rPr>
        <w:t xml:space="preserve"> staff </w:t>
      </w:r>
      <w:r w:rsidR="00FF1935" w:rsidRPr="00D443CB">
        <w:rPr>
          <w:rFonts w:ascii="Gill Sans MT" w:hAnsi="Gill Sans MT" w:cstheme="minorHAnsi"/>
        </w:rPr>
        <w:t xml:space="preserve">within the </w:t>
      </w:r>
      <w:r w:rsidR="00D0288D" w:rsidRPr="00D443CB">
        <w:rPr>
          <w:rFonts w:ascii="Gill Sans MT" w:hAnsi="Gill Sans MT" w:cstheme="minorHAnsi"/>
        </w:rPr>
        <w:t xml:space="preserve">diagnostic </w:t>
      </w:r>
      <w:r w:rsidR="00FF1935" w:rsidRPr="00D443CB">
        <w:rPr>
          <w:rFonts w:ascii="Gill Sans MT" w:hAnsi="Gill Sans MT" w:cstheme="minorHAnsi"/>
        </w:rPr>
        <w:t xml:space="preserve">network </w:t>
      </w:r>
      <w:r w:rsidR="0081337E" w:rsidRPr="00D443CB">
        <w:rPr>
          <w:rFonts w:ascii="Gill Sans MT" w:hAnsi="Gill Sans MT" w:cstheme="minorHAnsi"/>
        </w:rPr>
        <w:t xml:space="preserve">for verification of the information provided in the self-assessed </w:t>
      </w:r>
      <w:r w:rsidR="005805FA" w:rsidRPr="00D443CB">
        <w:rPr>
          <w:rFonts w:ascii="Gill Sans MT" w:hAnsi="Gill Sans MT" w:cstheme="minorHAnsi"/>
        </w:rPr>
        <w:t>TB-Net Tool</w:t>
      </w:r>
      <w:r w:rsidR="0081337E" w:rsidRPr="00D443CB">
        <w:rPr>
          <w:rFonts w:ascii="Gill Sans MT" w:hAnsi="Gill Sans MT" w:cstheme="minorHAnsi"/>
        </w:rPr>
        <w:t xml:space="preserve"> and tentative stages</w:t>
      </w:r>
      <w:r w:rsidR="00FF1935" w:rsidRPr="00D443CB">
        <w:rPr>
          <w:rFonts w:ascii="Gill Sans MT" w:hAnsi="Gill Sans MT" w:cstheme="minorHAnsi"/>
        </w:rPr>
        <w:t xml:space="preserve"> </w:t>
      </w:r>
      <w:r w:rsidR="00FF1935" w:rsidRPr="00D443CB">
        <w:rPr>
          <w:rFonts w:ascii="Gill Sans MT" w:hAnsi="Gill Sans MT" w:cstheme="minorHAnsi"/>
        </w:rPr>
        <w:lastRenderedPageBreak/>
        <w:t xml:space="preserve">agreed upon during </w:t>
      </w:r>
      <w:r w:rsidR="00C14EA2" w:rsidRPr="00D443CB">
        <w:rPr>
          <w:rFonts w:ascii="Gill Sans MT" w:hAnsi="Gill Sans MT" w:cstheme="minorHAnsi"/>
        </w:rPr>
        <w:t>the pre-</w:t>
      </w:r>
      <w:r w:rsidR="002A3A5E" w:rsidRPr="00D443CB">
        <w:rPr>
          <w:rFonts w:ascii="Gill Sans MT" w:hAnsi="Gill Sans MT" w:cstheme="minorHAnsi"/>
        </w:rPr>
        <w:t xml:space="preserve">assessment </w:t>
      </w:r>
      <w:r w:rsidR="00C14EA2" w:rsidRPr="00D443CB">
        <w:rPr>
          <w:rFonts w:ascii="Gill Sans MT" w:hAnsi="Gill Sans MT" w:cstheme="minorHAnsi"/>
        </w:rPr>
        <w:t xml:space="preserve">meeting on </w:t>
      </w:r>
      <w:r w:rsidR="00FF1935" w:rsidRPr="00D443CB">
        <w:rPr>
          <w:rFonts w:ascii="Gill Sans MT" w:hAnsi="Gill Sans MT" w:cstheme="minorHAnsi"/>
        </w:rPr>
        <w:t>days 1 and 2.</w:t>
      </w:r>
    </w:p>
    <w:p w14:paraId="7B4AB0EB" w14:textId="4F287303" w:rsidR="00FF1935" w:rsidRPr="00D443CB" w:rsidRDefault="00FF1935">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The </w:t>
      </w:r>
      <w:r w:rsidR="00F12CD3" w:rsidRPr="00D443CB">
        <w:rPr>
          <w:rFonts w:ascii="Gill Sans MT" w:hAnsi="Gill Sans MT" w:cstheme="minorHAnsi"/>
        </w:rPr>
        <w:t xml:space="preserve">external </w:t>
      </w:r>
      <w:r w:rsidRPr="00D443CB">
        <w:rPr>
          <w:rFonts w:ascii="Gill Sans MT" w:hAnsi="Gill Sans MT" w:cstheme="minorHAnsi"/>
        </w:rPr>
        <w:t xml:space="preserve">assessment team shall use the </w:t>
      </w:r>
      <w:r w:rsidR="00117C78" w:rsidRPr="00D443CB">
        <w:rPr>
          <w:rFonts w:ascii="Gill Sans MT" w:hAnsi="Gill Sans MT" w:cstheme="minorHAnsi"/>
        </w:rPr>
        <w:t xml:space="preserve">checklists of verification questions and provided </w:t>
      </w:r>
      <w:r w:rsidRPr="00D443CB">
        <w:rPr>
          <w:rFonts w:ascii="Gill Sans MT" w:hAnsi="Gill Sans MT" w:cstheme="minorHAnsi"/>
        </w:rPr>
        <w:t xml:space="preserve">documents to verify </w:t>
      </w:r>
      <w:r w:rsidR="00117C78" w:rsidRPr="00D443CB">
        <w:rPr>
          <w:rFonts w:ascii="Gill Sans MT" w:hAnsi="Gill Sans MT" w:cstheme="minorHAnsi"/>
        </w:rPr>
        <w:t xml:space="preserve">the stages provided in the self-assessed </w:t>
      </w:r>
      <w:r w:rsidR="005805FA" w:rsidRPr="00D443CB">
        <w:rPr>
          <w:rFonts w:ascii="Gill Sans MT" w:hAnsi="Gill Sans MT" w:cstheme="minorHAnsi"/>
        </w:rPr>
        <w:t>TB-Net Tool</w:t>
      </w:r>
      <w:r w:rsidR="00117C78" w:rsidRPr="00D443CB">
        <w:rPr>
          <w:rFonts w:ascii="Gill Sans MT" w:hAnsi="Gill Sans MT" w:cstheme="minorHAnsi"/>
        </w:rPr>
        <w:t xml:space="preserve"> </w:t>
      </w:r>
      <w:r w:rsidRPr="00D443CB">
        <w:rPr>
          <w:rFonts w:ascii="Gill Sans MT" w:hAnsi="Gill Sans MT" w:cstheme="minorHAnsi"/>
        </w:rPr>
        <w:t>at the site level.</w:t>
      </w:r>
      <w:r w:rsidR="00437BAA" w:rsidRPr="00D443CB">
        <w:rPr>
          <w:rFonts w:ascii="Gill Sans MT" w:hAnsi="Gill Sans MT" w:cstheme="minorHAnsi"/>
        </w:rPr>
        <w:t xml:space="preserve"> </w:t>
      </w:r>
      <w:r w:rsidR="000D43D8" w:rsidRPr="00D443CB">
        <w:rPr>
          <w:rFonts w:ascii="Gill Sans MT" w:hAnsi="Gill Sans MT" w:cstheme="minorHAnsi"/>
        </w:rPr>
        <w:t xml:space="preserve">In the checklists, the verification questions have the same designation as the corresponding component and question in the TB-Net Tool. </w:t>
      </w:r>
      <w:r w:rsidR="00437BAA" w:rsidRPr="00D443CB">
        <w:rPr>
          <w:rFonts w:ascii="Gill Sans MT" w:hAnsi="Gill Sans MT" w:cstheme="minorHAnsi"/>
        </w:rPr>
        <w:t xml:space="preserve">Verification checklists are tailored for the facilities or persons being interviewed (i.e., only a subset of the verification questions </w:t>
      </w:r>
      <w:r w:rsidR="000D43D8" w:rsidRPr="00D443CB">
        <w:rPr>
          <w:rFonts w:ascii="Gill Sans MT" w:hAnsi="Gill Sans MT" w:cstheme="minorHAnsi"/>
        </w:rPr>
        <w:t xml:space="preserve">is </w:t>
      </w:r>
      <w:r w:rsidR="00437BAA" w:rsidRPr="00D443CB">
        <w:rPr>
          <w:rFonts w:ascii="Gill Sans MT" w:hAnsi="Gill Sans MT" w:cstheme="minorHAnsi"/>
        </w:rPr>
        <w:t xml:space="preserve">asked of any one person or facility) and include: </w:t>
      </w:r>
    </w:p>
    <w:p w14:paraId="2749E079" w14:textId="4715306C" w:rsidR="00DF2327" w:rsidRPr="00D443CB" w:rsidRDefault="00DF2327"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NTRL checklist</w:t>
      </w:r>
    </w:p>
    <w:p w14:paraId="0355F57C" w14:textId="46ACAA9B" w:rsidR="00DF2327" w:rsidRPr="00D443CB" w:rsidRDefault="00DF2327"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Supervisory IRL checklist</w:t>
      </w:r>
    </w:p>
    <w:p w14:paraId="0F8B1050" w14:textId="7DB72421" w:rsidR="00DF2327" w:rsidRPr="00D443CB" w:rsidRDefault="00DF2327"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Non-supervisory IRL checklist</w:t>
      </w:r>
    </w:p>
    <w:p w14:paraId="3952F7E8" w14:textId="7CB3B5C1" w:rsidR="00DF2327" w:rsidRPr="00D443CB" w:rsidRDefault="00DF2327"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Peripheral Laboratory checklist</w:t>
      </w:r>
    </w:p>
    <w:p w14:paraId="33ADDB81" w14:textId="1617E01C" w:rsidR="00DF2327" w:rsidRPr="00D443CB" w:rsidRDefault="001D753B"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Health Facility checklist</w:t>
      </w:r>
    </w:p>
    <w:p w14:paraId="2CFD5529" w14:textId="618554C4" w:rsidR="001D753B" w:rsidRPr="00D443CB" w:rsidRDefault="001D753B"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Community HCW checklist</w:t>
      </w:r>
    </w:p>
    <w:p w14:paraId="13186A00" w14:textId="0E0DE1D4" w:rsidR="001D753B" w:rsidRPr="00D443CB" w:rsidRDefault="001D753B" w:rsidP="000D43D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District TB Officer/District Health Officer checklist</w:t>
      </w:r>
      <w:r w:rsidR="000D43D8" w:rsidRPr="00D443CB">
        <w:rPr>
          <w:rFonts w:ascii="Gill Sans MT" w:hAnsi="Gill Sans MT" w:cstheme="minorHAnsi"/>
        </w:rPr>
        <w:t xml:space="preserve"> (</w:t>
      </w:r>
      <w:r w:rsidRPr="00D443CB">
        <w:rPr>
          <w:rFonts w:ascii="Gill Sans MT" w:hAnsi="Gill Sans MT" w:cstheme="minorHAnsi"/>
        </w:rPr>
        <w:t>TB Program checklist</w:t>
      </w:r>
      <w:r w:rsidR="000D43D8" w:rsidRPr="00D443CB">
        <w:rPr>
          <w:rFonts w:ascii="Gill Sans MT" w:hAnsi="Gill Sans MT" w:cstheme="minorHAnsi"/>
        </w:rPr>
        <w:t>)</w:t>
      </w:r>
    </w:p>
    <w:p w14:paraId="01818D4B" w14:textId="74E40FD9" w:rsidR="001D753B" w:rsidRPr="00D443CB" w:rsidRDefault="001D753B"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District or Regional Laboratory Supervisor checklist</w:t>
      </w:r>
    </w:p>
    <w:p w14:paraId="6C40E79F" w14:textId="492D4514" w:rsidR="00931A34" w:rsidRPr="00D443CB" w:rsidRDefault="00931A34" w:rsidP="00933708">
      <w:pPr>
        <w:pStyle w:val="ListParagraph"/>
        <w:widowControl w:val="0"/>
        <w:numPr>
          <w:ilvl w:val="0"/>
          <w:numId w:val="2"/>
        </w:numPr>
        <w:autoSpaceDE w:val="0"/>
        <w:autoSpaceDN w:val="0"/>
        <w:adjustRightInd w:val="0"/>
        <w:spacing w:after="0" w:line="240" w:lineRule="auto"/>
        <w:ind w:left="1368"/>
        <w:jc w:val="both"/>
        <w:rPr>
          <w:rFonts w:ascii="Gill Sans MT" w:hAnsi="Gill Sans MT" w:cstheme="minorHAnsi"/>
        </w:rPr>
      </w:pPr>
      <w:r w:rsidRPr="00D443CB">
        <w:rPr>
          <w:rFonts w:ascii="Gill Sans MT" w:hAnsi="Gill Sans MT" w:cstheme="minorHAnsi"/>
        </w:rPr>
        <w:t>TB/HIV checklist</w:t>
      </w:r>
      <w:r w:rsidR="0039604D" w:rsidRPr="00D443CB">
        <w:rPr>
          <w:rFonts w:ascii="Gill Sans MT" w:hAnsi="Gill Sans MT" w:cstheme="minorHAnsi"/>
        </w:rPr>
        <w:t xml:space="preserve"> for the District or Region HIV Officer and HIV clinics</w:t>
      </w:r>
    </w:p>
    <w:p w14:paraId="1C58D15A" w14:textId="70F5C92A" w:rsidR="00DF2327" w:rsidRPr="00D443CB" w:rsidRDefault="00DF2327">
      <w:pPr>
        <w:pStyle w:val="ListParagraph"/>
        <w:widowControl w:val="0"/>
        <w:numPr>
          <w:ilvl w:val="0"/>
          <w:numId w:val="2"/>
        </w:numPr>
        <w:tabs>
          <w:tab w:val="left" w:pos="720"/>
        </w:tabs>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Typically, each </w:t>
      </w:r>
      <w:r w:rsidR="00437BAA" w:rsidRPr="00D443CB">
        <w:rPr>
          <w:rFonts w:ascii="Gill Sans MT" w:hAnsi="Gill Sans MT" w:cstheme="minorHAnsi"/>
        </w:rPr>
        <w:t xml:space="preserve">verification </w:t>
      </w:r>
      <w:r w:rsidRPr="00D443CB">
        <w:rPr>
          <w:rFonts w:ascii="Gill Sans MT" w:hAnsi="Gill Sans MT" w:cstheme="minorHAnsi"/>
        </w:rPr>
        <w:t>visit should last for 1–3 hours, depending on the facility. For example, 3 hours should be scheduled for a supervisory IRL, 2 hours for a peripheral laboratory and 1 hour for a health facility or community HCWs.</w:t>
      </w:r>
    </w:p>
    <w:p w14:paraId="20333676" w14:textId="67A56D7B" w:rsidR="00437BAA" w:rsidRPr="00D443CB" w:rsidRDefault="00437BAA" w:rsidP="008F79FE">
      <w:pPr>
        <w:pStyle w:val="ListParagraph"/>
        <w:widowControl w:val="0"/>
        <w:numPr>
          <w:ilvl w:val="0"/>
          <w:numId w:val="2"/>
        </w:numPr>
        <w:tabs>
          <w:tab w:val="left" w:pos="720"/>
        </w:tabs>
        <w:autoSpaceDE w:val="0"/>
        <w:autoSpaceDN w:val="0"/>
        <w:adjustRightInd w:val="0"/>
        <w:spacing w:after="0" w:line="240" w:lineRule="auto"/>
        <w:jc w:val="both"/>
        <w:rPr>
          <w:rFonts w:ascii="Gill Sans MT" w:hAnsi="Gill Sans MT" w:cstheme="minorHAnsi"/>
        </w:rPr>
      </w:pPr>
      <w:bookmarkStart w:id="37" w:name="_Hlk27116173"/>
      <w:r w:rsidRPr="00D443CB">
        <w:rPr>
          <w:rFonts w:ascii="Gill Sans MT" w:hAnsi="Gill Sans MT" w:cstheme="minorHAnsi"/>
        </w:rPr>
        <w:t>In addition to verification checklists, additional checklists (Annex 7) may be used to investigate specific thematic areas or special areas of interest to the MoH/NTP such as specimen referral or diagnostic data management. Additional time will be need to be scheduled for completing the thematic checklists</w:t>
      </w:r>
      <w:r w:rsidR="00D243EC" w:rsidRPr="00D443CB">
        <w:rPr>
          <w:rFonts w:ascii="Gill Sans MT" w:hAnsi="Gill Sans MT" w:cstheme="minorHAnsi"/>
        </w:rPr>
        <w:t>.</w:t>
      </w:r>
      <w:r w:rsidR="000D43D8" w:rsidRPr="00D443CB">
        <w:rPr>
          <w:rFonts w:ascii="Gill Sans MT" w:hAnsi="Gill Sans MT" w:cstheme="minorHAnsi"/>
        </w:rPr>
        <w:t xml:space="preserve"> </w:t>
      </w:r>
      <w:r w:rsidR="00DE52AC" w:rsidRPr="00D443CB">
        <w:rPr>
          <w:rFonts w:ascii="Gill Sans MT" w:hAnsi="Gill Sans MT" w:cstheme="minorHAnsi"/>
        </w:rPr>
        <w:t>Note that the questions in the additional checklists are not directly linked to a question of a component and may not be directly useful in assigning of stages to the components in the TB-Net Tool although they should be quite useful for developing recommendations</w:t>
      </w:r>
      <w:r w:rsidR="00742A5E" w:rsidRPr="00D443CB">
        <w:rPr>
          <w:rFonts w:ascii="Gill Sans MT" w:hAnsi="Gill Sans MT" w:cstheme="minorHAnsi"/>
        </w:rPr>
        <w:t>.</w:t>
      </w:r>
    </w:p>
    <w:bookmarkEnd w:id="37"/>
    <w:p w14:paraId="64DB0A5B" w14:textId="76402A36"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Prior to entering the </w:t>
      </w:r>
      <w:r w:rsidR="002820E9" w:rsidRPr="00D443CB">
        <w:rPr>
          <w:rFonts w:ascii="Gill Sans MT" w:hAnsi="Gill Sans MT" w:cstheme="minorHAnsi"/>
        </w:rPr>
        <w:t>facility</w:t>
      </w:r>
      <w:r w:rsidRPr="00D443CB">
        <w:rPr>
          <w:rFonts w:ascii="Gill Sans MT" w:hAnsi="Gill Sans MT" w:cstheme="minorHAnsi"/>
        </w:rPr>
        <w:t>, the team should be introduced to director</w:t>
      </w:r>
      <w:r w:rsidR="002820E9" w:rsidRPr="00D443CB">
        <w:rPr>
          <w:rFonts w:ascii="Gill Sans MT" w:hAnsi="Gill Sans MT" w:cstheme="minorHAnsi"/>
        </w:rPr>
        <w:t xml:space="preserve"> or </w:t>
      </w:r>
      <w:r w:rsidRPr="00D443CB">
        <w:rPr>
          <w:rFonts w:ascii="Gill Sans MT" w:hAnsi="Gill Sans MT" w:cstheme="minorHAnsi"/>
        </w:rPr>
        <w:t>medical officer</w:t>
      </w:r>
      <w:r w:rsidR="002820E9" w:rsidRPr="00D443CB">
        <w:rPr>
          <w:rFonts w:ascii="Gill Sans MT" w:hAnsi="Gill Sans MT" w:cstheme="minorHAnsi"/>
        </w:rPr>
        <w:t xml:space="preserve"> or </w:t>
      </w:r>
      <w:r w:rsidRPr="00D443CB">
        <w:rPr>
          <w:rFonts w:ascii="Gill Sans MT" w:hAnsi="Gill Sans MT" w:cstheme="minorHAnsi"/>
        </w:rPr>
        <w:t>manager of the facility via a brief courtes</w:t>
      </w:r>
      <w:r w:rsidR="00A678B5" w:rsidRPr="00D443CB">
        <w:rPr>
          <w:rFonts w:ascii="Gill Sans MT" w:hAnsi="Gill Sans MT" w:cstheme="minorHAnsi"/>
        </w:rPr>
        <w:t>y meeting, facilitated by the Mo</w:t>
      </w:r>
      <w:r w:rsidRPr="00D443CB">
        <w:rPr>
          <w:rFonts w:ascii="Gill Sans MT" w:hAnsi="Gill Sans MT" w:cstheme="minorHAnsi"/>
        </w:rPr>
        <w:t>H representative. The team lead will explain the purpose of the verification visit.</w:t>
      </w:r>
    </w:p>
    <w:p w14:paraId="68A26876" w14:textId="2DE3DB17"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It is important to emphasize the reason for the visit is to verify national systems and networks and it is not an assessment of the facility. The facility is not being scored. As far as possible</w:t>
      </w:r>
      <w:r w:rsidR="002A3A5E" w:rsidRPr="00D443CB">
        <w:rPr>
          <w:rFonts w:ascii="Gill Sans MT" w:hAnsi="Gill Sans MT" w:cstheme="minorHAnsi"/>
        </w:rPr>
        <w:t>,</w:t>
      </w:r>
      <w:r w:rsidRPr="00D443CB">
        <w:rPr>
          <w:rFonts w:ascii="Gill Sans MT" w:hAnsi="Gill Sans MT" w:cstheme="minorHAnsi"/>
        </w:rPr>
        <w:t xml:space="preserve"> ensure the laboratory personnel are relaxed and the team should avoid interfering with laboratory testing and workload. This explanation should also be provided to the laboratory manager and personnel.</w:t>
      </w:r>
    </w:p>
    <w:p w14:paraId="12BED07B" w14:textId="1058C07A" w:rsidR="00AF41EB" w:rsidRPr="00D443CB" w:rsidRDefault="00AF41EB"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Similarly, the visit is not a </w:t>
      </w:r>
      <w:r w:rsidR="002579C3" w:rsidRPr="00D443CB">
        <w:rPr>
          <w:rFonts w:ascii="Gill Sans MT" w:hAnsi="Gill Sans MT" w:cstheme="minorHAnsi"/>
        </w:rPr>
        <w:t>‘</w:t>
      </w:r>
      <w:r w:rsidRPr="00D443CB">
        <w:rPr>
          <w:rFonts w:ascii="Gill Sans MT" w:hAnsi="Gill Sans MT" w:cstheme="minorHAnsi"/>
        </w:rPr>
        <w:t>supervision visit</w:t>
      </w:r>
      <w:r w:rsidR="002579C3" w:rsidRPr="00D443CB">
        <w:rPr>
          <w:rFonts w:ascii="Gill Sans MT" w:hAnsi="Gill Sans MT" w:cstheme="minorHAnsi"/>
        </w:rPr>
        <w:t>’</w:t>
      </w:r>
      <w:r w:rsidRPr="00D443CB">
        <w:rPr>
          <w:rFonts w:ascii="Gill Sans MT" w:hAnsi="Gill Sans MT" w:cstheme="minorHAnsi"/>
        </w:rPr>
        <w:t>; assessors should not be checking the quality of testing or other processes.</w:t>
      </w:r>
    </w:p>
    <w:p w14:paraId="1F8ED231" w14:textId="7A645082"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When visiting </w:t>
      </w:r>
      <w:r w:rsidR="001F40ED" w:rsidRPr="00D443CB">
        <w:rPr>
          <w:rFonts w:ascii="Gill Sans MT" w:hAnsi="Gill Sans MT" w:cstheme="minorHAnsi"/>
        </w:rPr>
        <w:t>a</w:t>
      </w:r>
      <w:r w:rsidRPr="00D443CB">
        <w:rPr>
          <w:rFonts w:ascii="Gill Sans MT" w:hAnsi="Gill Sans MT" w:cstheme="minorHAnsi"/>
        </w:rPr>
        <w:t xml:space="preserve"> laboratory</w:t>
      </w:r>
      <w:r w:rsidR="009A2E5D" w:rsidRPr="00D443CB">
        <w:rPr>
          <w:rFonts w:ascii="Gill Sans MT" w:hAnsi="Gill Sans MT" w:cstheme="minorHAnsi"/>
        </w:rPr>
        <w:t>,</w:t>
      </w:r>
      <w:r w:rsidRPr="00D443CB">
        <w:rPr>
          <w:rFonts w:ascii="Gill Sans MT" w:hAnsi="Gill Sans MT" w:cstheme="minorHAnsi"/>
        </w:rPr>
        <w:t xml:space="preserve"> the team will verify documents as well as add</w:t>
      </w:r>
      <w:r w:rsidR="00962F6E" w:rsidRPr="00D443CB">
        <w:rPr>
          <w:rFonts w:ascii="Gill Sans MT" w:hAnsi="Gill Sans MT" w:cstheme="minorHAnsi"/>
        </w:rPr>
        <w:t>ress any questions or issues raised during the initial 2-day meeting of the assessment team.</w:t>
      </w:r>
      <w:r w:rsidR="00117C78" w:rsidRPr="00D443CB">
        <w:rPr>
          <w:rFonts w:ascii="Gill Sans MT" w:hAnsi="Gill Sans MT" w:cstheme="minorHAnsi"/>
        </w:rPr>
        <w:t xml:space="preserve"> Avoid falling into a ‘site assessment’</w:t>
      </w:r>
      <w:r w:rsidRPr="00D443CB">
        <w:rPr>
          <w:rFonts w:ascii="Gill Sans MT" w:hAnsi="Gill Sans MT" w:cstheme="minorHAnsi"/>
        </w:rPr>
        <w:t xml:space="preserve"> trap vs verification of national information and avoid the use of jargon.</w:t>
      </w:r>
    </w:p>
    <w:p w14:paraId="56333CA8" w14:textId="55F1BE7A"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If necessary, ensure there is a person who speaks the local language to translate or explain.</w:t>
      </w:r>
    </w:p>
    <w:p w14:paraId="623D689F" w14:textId="434BAAEA"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Ask open-ended questions, </w:t>
      </w:r>
      <w:r w:rsidR="006574D2" w:rsidRPr="00D443CB">
        <w:rPr>
          <w:rFonts w:ascii="Gill Sans MT" w:hAnsi="Gill Sans MT" w:cstheme="minorHAnsi"/>
        </w:rPr>
        <w:t>e.g.</w:t>
      </w:r>
      <w:r w:rsidRPr="00D443CB">
        <w:rPr>
          <w:rFonts w:ascii="Gill Sans MT" w:hAnsi="Gill Sans MT" w:cstheme="minorHAnsi"/>
        </w:rPr>
        <w:t xml:space="preserve">, how do you </w:t>
      </w:r>
      <w:r w:rsidR="009A2E5D" w:rsidRPr="00D443CB">
        <w:rPr>
          <w:rFonts w:ascii="Gill Sans MT" w:hAnsi="Gill Sans MT" w:cstheme="minorHAnsi"/>
        </w:rPr>
        <w:t xml:space="preserve">perform </w:t>
      </w:r>
      <w:r w:rsidRPr="00D443CB">
        <w:rPr>
          <w:rFonts w:ascii="Gill Sans MT" w:hAnsi="Gill Sans MT" w:cstheme="minorHAnsi"/>
        </w:rPr>
        <w:t xml:space="preserve">quality control </w:t>
      </w:r>
      <w:r w:rsidR="009A2E5D" w:rsidRPr="00D443CB">
        <w:rPr>
          <w:rFonts w:ascii="Gill Sans MT" w:hAnsi="Gill Sans MT" w:cstheme="minorHAnsi"/>
        </w:rPr>
        <w:t xml:space="preserve">on </w:t>
      </w:r>
      <w:r w:rsidRPr="00D443CB">
        <w:rPr>
          <w:rFonts w:ascii="Gill Sans MT" w:hAnsi="Gill Sans MT" w:cstheme="minorHAnsi"/>
        </w:rPr>
        <w:t>all of your tests? Avoid answering questions for the lab</w:t>
      </w:r>
      <w:r w:rsidR="00C14EA2" w:rsidRPr="00D443CB">
        <w:rPr>
          <w:rFonts w:ascii="Gill Sans MT" w:hAnsi="Gill Sans MT" w:cstheme="minorHAnsi"/>
        </w:rPr>
        <w:t>oratory</w:t>
      </w:r>
      <w:r w:rsidRPr="00D443CB">
        <w:rPr>
          <w:rFonts w:ascii="Gill Sans MT" w:hAnsi="Gill Sans MT" w:cstheme="minorHAnsi"/>
        </w:rPr>
        <w:t xml:space="preserve"> personnel. If he</w:t>
      </w:r>
      <w:r w:rsidR="00873EB5" w:rsidRPr="00D443CB">
        <w:rPr>
          <w:rFonts w:ascii="Gill Sans MT" w:hAnsi="Gill Sans MT" w:cstheme="minorHAnsi"/>
        </w:rPr>
        <w:t xml:space="preserve"> or </w:t>
      </w:r>
      <w:r w:rsidRPr="00D443CB">
        <w:rPr>
          <w:rFonts w:ascii="Gill Sans MT" w:hAnsi="Gill Sans MT" w:cstheme="minorHAnsi"/>
        </w:rPr>
        <w:t>she does not answer, try rephrasing the question for clarity.</w:t>
      </w:r>
    </w:p>
    <w:p w14:paraId="30F105DC" w14:textId="59535A64" w:rsidR="00FF1935" w:rsidRPr="00D443CB" w:rsidRDefault="00FF1935">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At the end of the visit the team leader should thank the personnel for their availability and time.</w:t>
      </w:r>
    </w:p>
    <w:p w14:paraId="422C09A2" w14:textId="24AC9EEB" w:rsidR="00B32646" w:rsidRPr="00D443CB" w:rsidRDefault="00B32646"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Calibri"/>
        </w:rPr>
        <w:t>At the end of the day, the assessment team should ensure that the electronic versions of the checklists are completed for each site visited</w:t>
      </w:r>
      <w:r w:rsidR="00D639FF" w:rsidRPr="00D443CB">
        <w:rPr>
          <w:rFonts w:ascii="Gill Sans MT" w:hAnsi="Gill Sans MT" w:cs="Calibri"/>
        </w:rPr>
        <w:t xml:space="preserve"> or person interviewed</w:t>
      </w:r>
      <w:r w:rsidRPr="00D443CB">
        <w:rPr>
          <w:rFonts w:ascii="Gill Sans MT" w:hAnsi="Gill Sans MT" w:cs="Calibri"/>
        </w:rPr>
        <w:t>. This may entail entering data from paper forms into the electronic versions.</w:t>
      </w:r>
      <w:r w:rsidR="00F92E73" w:rsidRPr="00D443CB">
        <w:rPr>
          <w:rFonts w:ascii="Gill Sans MT" w:hAnsi="Gill Sans MT" w:cs="Calibri"/>
        </w:rPr>
        <w:t xml:space="preserve"> </w:t>
      </w:r>
      <w:r w:rsidRPr="00D443CB">
        <w:rPr>
          <w:rFonts w:ascii="Gill Sans MT" w:hAnsi="Gill Sans MT" w:cs="Calibri"/>
        </w:rPr>
        <w:t>Assessment teams may also meet to debrief the day, discuss success of the process, identify challenges and review findings.</w:t>
      </w:r>
    </w:p>
    <w:p w14:paraId="5D9B28DA" w14:textId="6F4D8861"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rPr>
      </w:pPr>
      <w:r w:rsidRPr="00D443CB">
        <w:rPr>
          <w:rFonts w:ascii="Gill Sans MT" w:hAnsi="Gill Sans MT" w:cs="Calibri"/>
        </w:rPr>
        <w:t xml:space="preserve">During the verification process, </w:t>
      </w:r>
      <w:r w:rsidR="00962F6E" w:rsidRPr="00D443CB">
        <w:rPr>
          <w:rFonts w:ascii="Gill Sans MT" w:hAnsi="Gill Sans MT" w:cs="Calibri"/>
        </w:rPr>
        <w:t xml:space="preserve">the </w:t>
      </w:r>
      <w:r w:rsidRPr="00D443CB">
        <w:rPr>
          <w:rFonts w:ascii="Gill Sans MT" w:hAnsi="Gill Sans MT" w:cs="Calibri"/>
        </w:rPr>
        <w:t>assessor</w:t>
      </w:r>
      <w:r w:rsidR="00962F6E" w:rsidRPr="00D443CB">
        <w:rPr>
          <w:rFonts w:ascii="Gill Sans MT" w:hAnsi="Gill Sans MT" w:cs="Calibri"/>
        </w:rPr>
        <w:t>s</w:t>
      </w:r>
      <w:r w:rsidRPr="00D443CB">
        <w:rPr>
          <w:rFonts w:ascii="Gill Sans MT" w:hAnsi="Gill Sans MT" w:cs="Calibri"/>
        </w:rPr>
        <w:t xml:space="preserve"> </w:t>
      </w:r>
      <w:r w:rsidR="00B32646" w:rsidRPr="00D443CB">
        <w:rPr>
          <w:rFonts w:ascii="Gill Sans MT" w:hAnsi="Gill Sans MT" w:cs="Calibri"/>
        </w:rPr>
        <w:t>should record observations and findings and draft recommendations to address challenges and shortcomings</w:t>
      </w:r>
      <w:r w:rsidR="007D0B0D" w:rsidRPr="00D443CB">
        <w:rPr>
          <w:rFonts w:ascii="Gill Sans MT" w:hAnsi="Gill Sans MT" w:cs="Calibri"/>
        </w:rPr>
        <w:t xml:space="preserve"> (see PowerPoint template for report back)</w:t>
      </w:r>
      <w:r w:rsidRPr="00D443CB">
        <w:rPr>
          <w:rFonts w:ascii="Gill Sans MT" w:hAnsi="Gill Sans MT" w:cs="Calibri"/>
        </w:rPr>
        <w:t>.</w:t>
      </w:r>
      <w:r w:rsidR="00C8265A" w:rsidRPr="00D443CB">
        <w:rPr>
          <w:rFonts w:ascii="Gill Sans MT" w:hAnsi="Gill Sans MT" w:cs="Calibri"/>
        </w:rPr>
        <w:t xml:space="preserve"> This presentation may form the basis of a debriefing with </w:t>
      </w:r>
      <w:r w:rsidR="00C8265A" w:rsidRPr="00D443CB">
        <w:rPr>
          <w:rFonts w:ascii="Gill Sans MT" w:hAnsi="Gill Sans MT"/>
        </w:rPr>
        <w:t xml:space="preserve">region or district staff at the end of a visit to a </w:t>
      </w:r>
      <w:r w:rsidR="00C8265A" w:rsidRPr="00D443CB">
        <w:rPr>
          <w:rFonts w:ascii="Gill Sans MT" w:hAnsi="Gill Sans MT"/>
        </w:rPr>
        <w:lastRenderedPageBreak/>
        <w:t>region.</w:t>
      </w:r>
    </w:p>
    <w:p w14:paraId="10433E36" w14:textId="77777777" w:rsidR="00FF1935" w:rsidRPr="00D443CB" w:rsidRDefault="00FF1935" w:rsidP="008F79FE">
      <w:pPr>
        <w:widowControl w:val="0"/>
        <w:autoSpaceDE w:val="0"/>
        <w:autoSpaceDN w:val="0"/>
        <w:adjustRightInd w:val="0"/>
        <w:spacing w:after="0" w:line="240" w:lineRule="auto"/>
        <w:jc w:val="both"/>
        <w:rPr>
          <w:rFonts w:ascii="Gill Sans MT" w:hAnsi="Gill Sans MT" w:cs="Calibri"/>
          <w:sz w:val="24"/>
          <w:szCs w:val="24"/>
        </w:rPr>
      </w:pPr>
    </w:p>
    <w:p w14:paraId="7F29C581" w14:textId="5DC7F215" w:rsidR="003D249D" w:rsidRPr="00D443CB" w:rsidRDefault="003D249D" w:rsidP="008F79FE">
      <w:pPr>
        <w:widowControl w:val="0"/>
        <w:autoSpaceDE w:val="0"/>
        <w:autoSpaceDN w:val="0"/>
        <w:adjustRightInd w:val="0"/>
        <w:spacing w:after="0" w:line="240" w:lineRule="auto"/>
        <w:jc w:val="both"/>
        <w:rPr>
          <w:rFonts w:ascii="Gill Sans MT" w:hAnsi="Gill Sans MT" w:cstheme="minorHAnsi"/>
          <w:i/>
        </w:rPr>
      </w:pPr>
      <w:r w:rsidRPr="00D443CB">
        <w:rPr>
          <w:rFonts w:ascii="Gill Sans MT" w:hAnsi="Gill Sans MT" w:cstheme="minorHAnsi"/>
          <w:i/>
        </w:rPr>
        <w:t xml:space="preserve">Days </w:t>
      </w:r>
      <w:r w:rsidR="00BE252D" w:rsidRPr="00D443CB">
        <w:rPr>
          <w:rFonts w:ascii="Gill Sans MT" w:hAnsi="Gill Sans MT" w:cstheme="minorHAnsi"/>
          <w:i/>
        </w:rPr>
        <w:t>8</w:t>
      </w:r>
      <w:r w:rsidRPr="00D443CB">
        <w:rPr>
          <w:rFonts w:ascii="Gill Sans MT" w:hAnsi="Gill Sans MT" w:cstheme="minorHAnsi"/>
          <w:i/>
        </w:rPr>
        <w:t>— 1</w:t>
      </w:r>
      <w:r w:rsidR="00BE252D" w:rsidRPr="00D443CB">
        <w:rPr>
          <w:rFonts w:ascii="Gill Sans MT" w:hAnsi="Gill Sans MT" w:cstheme="minorHAnsi"/>
          <w:i/>
        </w:rPr>
        <w:t>2</w:t>
      </w:r>
      <w:r w:rsidR="00B71466" w:rsidRPr="00D443CB">
        <w:rPr>
          <w:rFonts w:ascii="Gill Sans MT" w:hAnsi="Gill Sans MT" w:cstheme="minorHAnsi"/>
          <w:i/>
        </w:rPr>
        <w:t xml:space="preserve">: post-verification </w:t>
      </w:r>
      <w:r w:rsidR="00A678B5" w:rsidRPr="00D443CB">
        <w:rPr>
          <w:rFonts w:ascii="Gill Sans MT" w:hAnsi="Gill Sans MT" w:cstheme="minorHAnsi"/>
          <w:i/>
        </w:rPr>
        <w:t xml:space="preserve">visit </w:t>
      </w:r>
      <w:r w:rsidR="00B71466" w:rsidRPr="00D443CB">
        <w:rPr>
          <w:rFonts w:ascii="Gill Sans MT" w:hAnsi="Gill Sans MT" w:cstheme="minorHAnsi"/>
          <w:i/>
        </w:rPr>
        <w:t>activities</w:t>
      </w:r>
    </w:p>
    <w:p w14:paraId="4A1960B8" w14:textId="3497E096" w:rsidR="00771ABB" w:rsidRPr="00D443CB" w:rsidRDefault="00771ABB" w:rsidP="00FC763C">
      <w:pPr>
        <w:pStyle w:val="ListParagraph"/>
        <w:widowControl w:val="0"/>
        <w:numPr>
          <w:ilvl w:val="0"/>
          <w:numId w:val="5"/>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A designated external assessor(s) should collate all of the checklists into a master file</w:t>
      </w:r>
      <w:r w:rsidR="00023F22" w:rsidRPr="00D443CB">
        <w:rPr>
          <w:rFonts w:ascii="Gill Sans MT" w:hAnsi="Gill Sans MT" w:cstheme="minorHAnsi"/>
        </w:rPr>
        <w:t xml:space="preserve"> (Annex X)</w:t>
      </w:r>
      <w:r w:rsidRPr="00D443CB">
        <w:rPr>
          <w:rFonts w:ascii="Gill Sans MT" w:hAnsi="Gill Sans MT" w:cstheme="minorHAnsi"/>
        </w:rPr>
        <w:t>. In the master file, summary statistics (e.g., the number of ‘yes’ ‘no’ and ‘partial’ answers) will be automatically calculated for each verification question.</w:t>
      </w:r>
    </w:p>
    <w:p w14:paraId="4331C12E" w14:textId="461D2D9C" w:rsidR="00FE4D69" w:rsidRPr="00D443CB" w:rsidRDefault="00FE4D69" w:rsidP="00FC763C">
      <w:pPr>
        <w:pStyle w:val="ListParagraph"/>
        <w:widowControl w:val="0"/>
        <w:numPr>
          <w:ilvl w:val="0"/>
          <w:numId w:val="5"/>
        </w:numPr>
        <w:autoSpaceDE w:val="0"/>
        <w:autoSpaceDN w:val="0"/>
        <w:adjustRightInd w:val="0"/>
        <w:spacing w:after="0" w:line="240" w:lineRule="auto"/>
        <w:jc w:val="both"/>
        <w:rPr>
          <w:rFonts w:ascii="Gill Sans MT" w:hAnsi="Gill Sans MT" w:cstheme="minorBidi"/>
        </w:rPr>
      </w:pPr>
      <w:r w:rsidRPr="00D443CB">
        <w:rPr>
          <w:rFonts w:ascii="Gill Sans MT" w:hAnsi="Gill Sans MT" w:cstheme="minorBidi"/>
        </w:rPr>
        <w:t xml:space="preserve">Each site-assessment team </w:t>
      </w:r>
      <w:r w:rsidR="00F92E73" w:rsidRPr="00D443CB">
        <w:rPr>
          <w:rFonts w:ascii="Gill Sans MT" w:hAnsi="Gill Sans MT" w:cstheme="minorBidi"/>
        </w:rPr>
        <w:t>should</w:t>
      </w:r>
      <w:r w:rsidRPr="00D443CB">
        <w:rPr>
          <w:rFonts w:ascii="Gill Sans MT" w:hAnsi="Gill Sans MT" w:cstheme="minorBidi"/>
        </w:rPr>
        <w:t xml:space="preserve"> prepare a summary </w:t>
      </w:r>
      <w:r w:rsidR="00054162" w:rsidRPr="00D443CB">
        <w:rPr>
          <w:rFonts w:ascii="Gill Sans MT" w:hAnsi="Gill Sans MT" w:cstheme="minorBidi"/>
        </w:rPr>
        <w:t xml:space="preserve">of the verification visits and interviews conducted in their assigned region </w:t>
      </w:r>
      <w:r w:rsidR="008F4AD5" w:rsidRPr="00D443CB">
        <w:rPr>
          <w:rFonts w:ascii="Gill Sans MT" w:hAnsi="Gill Sans MT" w:cstheme="minorBidi"/>
        </w:rPr>
        <w:t xml:space="preserve">that </w:t>
      </w:r>
      <w:r w:rsidR="00054162" w:rsidRPr="00D443CB">
        <w:rPr>
          <w:rFonts w:ascii="Gill Sans MT" w:hAnsi="Gill Sans MT" w:cstheme="minorBidi"/>
        </w:rPr>
        <w:t>describ</w:t>
      </w:r>
      <w:r w:rsidR="008F4AD5" w:rsidRPr="00D443CB">
        <w:rPr>
          <w:rFonts w:ascii="Gill Sans MT" w:hAnsi="Gill Sans MT" w:cstheme="minorBidi"/>
        </w:rPr>
        <w:t>es</w:t>
      </w:r>
      <w:r w:rsidR="00054162" w:rsidRPr="00D443CB">
        <w:rPr>
          <w:rFonts w:ascii="Gill Sans MT" w:hAnsi="Gill Sans MT" w:cstheme="minorBidi"/>
        </w:rPr>
        <w:t xml:space="preserve"> </w:t>
      </w:r>
      <w:r w:rsidR="00023F22" w:rsidRPr="00D443CB">
        <w:rPr>
          <w:rFonts w:ascii="Gill Sans MT" w:hAnsi="Gill Sans MT" w:cstheme="minorBidi"/>
        </w:rPr>
        <w:t xml:space="preserve">the </w:t>
      </w:r>
      <w:r w:rsidRPr="00D443CB">
        <w:rPr>
          <w:rFonts w:ascii="Gill Sans MT" w:hAnsi="Gill Sans MT" w:cstheme="minorBidi"/>
        </w:rPr>
        <w:t>sites visited,</w:t>
      </w:r>
      <w:r w:rsidR="00054162" w:rsidRPr="00D443CB">
        <w:rPr>
          <w:rFonts w:ascii="Gill Sans MT" w:hAnsi="Gill Sans MT" w:cstheme="minorBidi"/>
        </w:rPr>
        <w:t xml:space="preserve"> </w:t>
      </w:r>
      <w:r w:rsidRPr="00D443CB">
        <w:rPr>
          <w:rFonts w:ascii="Gill Sans MT" w:hAnsi="Gill Sans MT" w:cstheme="minorBidi"/>
        </w:rPr>
        <w:t>key findings and recommendations. The summaries should be reviewed by all team members</w:t>
      </w:r>
      <w:r w:rsidR="00023F22" w:rsidRPr="00D443CB">
        <w:rPr>
          <w:rFonts w:ascii="Gill Sans MT" w:hAnsi="Gill Sans MT" w:cstheme="minorBidi"/>
        </w:rPr>
        <w:t xml:space="preserve"> and considered as part of the process for developing the overall findings and recommendations for the TB diagnostic network assessment</w:t>
      </w:r>
      <w:r w:rsidRPr="00D443CB">
        <w:rPr>
          <w:rFonts w:ascii="Gill Sans MT" w:hAnsi="Gill Sans MT" w:cstheme="minorBidi"/>
        </w:rPr>
        <w:t xml:space="preserve">. A PowerPoint template </w:t>
      </w:r>
      <w:r w:rsidR="009505CF" w:rsidRPr="00D443CB">
        <w:rPr>
          <w:rFonts w:ascii="Gill Sans MT" w:hAnsi="Gill Sans MT" w:cstheme="minorBidi"/>
        </w:rPr>
        <w:t>and an MS Word template are</w:t>
      </w:r>
      <w:r w:rsidRPr="00D443CB">
        <w:rPr>
          <w:rFonts w:ascii="Gill Sans MT" w:hAnsi="Gill Sans MT" w:cstheme="minorBidi"/>
        </w:rPr>
        <w:t xml:space="preserve"> </w:t>
      </w:r>
      <w:r w:rsidR="00F220AC" w:rsidRPr="00D443CB">
        <w:rPr>
          <w:rFonts w:ascii="Gill Sans MT" w:hAnsi="Gill Sans MT" w:cstheme="minorBidi"/>
        </w:rPr>
        <w:t>available</w:t>
      </w:r>
      <w:r w:rsidRPr="00D443CB">
        <w:rPr>
          <w:rFonts w:ascii="Gill Sans MT" w:hAnsi="Gill Sans MT" w:cstheme="minorBidi"/>
        </w:rPr>
        <w:t xml:space="preserve"> for the summaries. </w:t>
      </w:r>
      <w:r w:rsidR="00023F22" w:rsidRPr="00D443CB">
        <w:rPr>
          <w:rFonts w:ascii="Gill Sans MT" w:hAnsi="Gill Sans MT" w:cstheme="minorBidi"/>
        </w:rPr>
        <w:t xml:space="preserve">It is recommended that the PowerPoint template be used to facilitate generating the debriefing presentations. </w:t>
      </w:r>
    </w:p>
    <w:p w14:paraId="72409632" w14:textId="24F46A14" w:rsidR="003D249D" w:rsidRPr="00D443CB" w:rsidRDefault="003D249D" w:rsidP="00FC763C">
      <w:pPr>
        <w:pStyle w:val="ListParagraph"/>
        <w:widowControl w:val="0"/>
        <w:numPr>
          <w:ilvl w:val="0"/>
          <w:numId w:val="5"/>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The </w:t>
      </w:r>
      <w:r w:rsidR="008F4AD5" w:rsidRPr="00D443CB">
        <w:rPr>
          <w:rFonts w:ascii="Gill Sans MT" w:hAnsi="Gill Sans MT" w:cstheme="minorHAnsi"/>
        </w:rPr>
        <w:t xml:space="preserve">joint </w:t>
      </w:r>
      <w:r w:rsidRPr="00D443CB">
        <w:rPr>
          <w:rFonts w:ascii="Gill Sans MT" w:hAnsi="Gill Sans MT" w:cstheme="minorHAnsi"/>
        </w:rPr>
        <w:t xml:space="preserve">assessment team should hold consultations with </w:t>
      </w:r>
      <w:r w:rsidR="008F4AD5" w:rsidRPr="00D443CB">
        <w:rPr>
          <w:rFonts w:ascii="Gill Sans MT" w:hAnsi="Gill Sans MT" w:cstheme="minorHAnsi"/>
        </w:rPr>
        <w:t xml:space="preserve">1) </w:t>
      </w:r>
      <w:r w:rsidRPr="00D443CB">
        <w:rPr>
          <w:rFonts w:ascii="Gill Sans MT" w:hAnsi="Gill Sans MT" w:cstheme="minorHAnsi"/>
        </w:rPr>
        <w:t>stakeholders including representatives of private sector laboratories and clinics, implementing and funding partners,</w:t>
      </w:r>
      <w:r w:rsidR="00DE52AC" w:rsidRPr="00D443CB">
        <w:rPr>
          <w:rFonts w:ascii="Gill Sans MT" w:hAnsi="Gill Sans MT" w:cstheme="minorHAnsi"/>
        </w:rPr>
        <w:t xml:space="preserve"> and patent representatives,</w:t>
      </w:r>
      <w:r w:rsidRPr="00D443CB">
        <w:rPr>
          <w:rFonts w:ascii="Gill Sans MT" w:hAnsi="Gill Sans MT" w:cstheme="minorHAnsi"/>
        </w:rPr>
        <w:t xml:space="preserve"> </w:t>
      </w:r>
      <w:r w:rsidR="00823C3F" w:rsidRPr="00D443CB">
        <w:rPr>
          <w:rFonts w:ascii="Gill Sans MT" w:hAnsi="Gill Sans MT" w:cstheme="minorHAnsi"/>
        </w:rPr>
        <w:t xml:space="preserve">2) </w:t>
      </w:r>
      <w:r w:rsidRPr="00D443CB">
        <w:rPr>
          <w:rFonts w:ascii="Gill Sans MT" w:hAnsi="Gill Sans MT" w:cstheme="minorHAnsi"/>
        </w:rPr>
        <w:t>clinicians</w:t>
      </w:r>
      <w:r w:rsidR="00823C3F" w:rsidRPr="00D443CB">
        <w:rPr>
          <w:rFonts w:ascii="Gill Sans MT" w:hAnsi="Gill Sans MT" w:cstheme="minorHAnsi"/>
        </w:rPr>
        <w:t>,</w:t>
      </w:r>
      <w:r w:rsidRPr="00D443CB">
        <w:rPr>
          <w:rFonts w:ascii="Gill Sans MT" w:hAnsi="Gill Sans MT" w:cstheme="minorHAnsi"/>
        </w:rPr>
        <w:t xml:space="preserve"> nurses</w:t>
      </w:r>
      <w:r w:rsidR="00823C3F" w:rsidRPr="00D443CB">
        <w:rPr>
          <w:rFonts w:ascii="Gill Sans MT" w:hAnsi="Gill Sans MT" w:cstheme="minorHAnsi"/>
        </w:rPr>
        <w:t xml:space="preserve"> and treatment focal persons and 3</w:t>
      </w:r>
      <w:r w:rsidR="008F4AD5" w:rsidRPr="00D443CB">
        <w:rPr>
          <w:rFonts w:ascii="Gill Sans MT" w:hAnsi="Gill Sans MT" w:cstheme="minorHAnsi"/>
        </w:rPr>
        <w:t>) representatives of the MoH, NTP, and other government programs,</w:t>
      </w:r>
      <w:r w:rsidR="008F4AD5" w:rsidRPr="00D443CB">
        <w:rPr>
          <w:rFonts w:ascii="Gill Sans MT" w:hAnsi="Gill Sans MT" w:cstheme="minorHAnsi"/>
          <w:i/>
        </w:rPr>
        <w:t xml:space="preserve"> </w:t>
      </w:r>
      <w:r w:rsidR="008F4AD5" w:rsidRPr="00D443CB">
        <w:rPr>
          <w:rFonts w:ascii="Gill Sans MT" w:hAnsi="Gill Sans MT" w:cstheme="minorHAnsi"/>
        </w:rPr>
        <w:t>e.g., National AIDS Control Program</w:t>
      </w:r>
      <w:r w:rsidRPr="00D443CB">
        <w:rPr>
          <w:rFonts w:ascii="Gill Sans MT" w:hAnsi="Gill Sans MT" w:cstheme="minorHAnsi"/>
        </w:rPr>
        <w:t xml:space="preserve">. </w:t>
      </w:r>
      <w:r w:rsidR="008F4AD5" w:rsidRPr="00D443CB">
        <w:rPr>
          <w:rFonts w:ascii="Gill Sans MT" w:hAnsi="Gill Sans MT" w:cstheme="minorHAnsi"/>
        </w:rPr>
        <w:t>The consultations may involve the entire team or a subset of assessors.</w:t>
      </w:r>
    </w:p>
    <w:p w14:paraId="0975DE38" w14:textId="7A2D7F77" w:rsidR="009505CF" w:rsidRPr="00D443CB" w:rsidRDefault="001F40ED" w:rsidP="00FC763C">
      <w:pPr>
        <w:pStyle w:val="ListParagraph"/>
        <w:widowControl w:val="0"/>
        <w:numPr>
          <w:ilvl w:val="0"/>
          <w:numId w:val="5"/>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The external assessment team </w:t>
      </w:r>
      <w:r w:rsidR="00023F22" w:rsidRPr="00D443CB">
        <w:rPr>
          <w:rFonts w:ascii="Gill Sans MT" w:hAnsi="Gill Sans MT" w:cstheme="minorHAnsi"/>
        </w:rPr>
        <w:t xml:space="preserve">should </w:t>
      </w:r>
      <w:r w:rsidRPr="00D443CB">
        <w:rPr>
          <w:rFonts w:ascii="Gill Sans MT" w:hAnsi="Gill Sans MT" w:cstheme="minorHAnsi"/>
        </w:rPr>
        <w:t>review the TB-Net Tool and use a consensus</w:t>
      </w:r>
      <w:r w:rsidR="00023F22" w:rsidRPr="00D443CB">
        <w:rPr>
          <w:rFonts w:ascii="Gill Sans MT" w:hAnsi="Gill Sans MT" w:cstheme="minorHAnsi"/>
        </w:rPr>
        <w:t>-driven</w:t>
      </w:r>
      <w:r w:rsidRPr="00D443CB">
        <w:rPr>
          <w:rFonts w:ascii="Gill Sans MT" w:hAnsi="Gill Sans MT" w:cstheme="minorHAnsi"/>
        </w:rPr>
        <w:t xml:space="preserve"> approach to determine stages based on </w:t>
      </w:r>
      <w:r w:rsidR="009505CF" w:rsidRPr="00D443CB">
        <w:rPr>
          <w:rFonts w:ascii="Gill Sans MT" w:hAnsi="Gill Sans MT" w:cstheme="minorHAnsi"/>
        </w:rPr>
        <w:t>the findings of verification visits, interviews</w:t>
      </w:r>
      <w:r w:rsidRPr="00D443CB">
        <w:rPr>
          <w:rFonts w:ascii="Gill Sans MT" w:hAnsi="Gill Sans MT" w:cstheme="minorHAnsi"/>
        </w:rPr>
        <w:t xml:space="preserve">, document </w:t>
      </w:r>
      <w:r w:rsidR="009505CF" w:rsidRPr="00D443CB">
        <w:rPr>
          <w:rFonts w:ascii="Gill Sans MT" w:hAnsi="Gill Sans MT" w:cstheme="minorHAnsi"/>
        </w:rPr>
        <w:t>review</w:t>
      </w:r>
      <w:r w:rsidRPr="00D443CB">
        <w:rPr>
          <w:rFonts w:ascii="Gill Sans MT" w:hAnsi="Gill Sans MT" w:cstheme="minorHAnsi"/>
        </w:rPr>
        <w:t>, consultations and group discussions.</w:t>
      </w:r>
      <w:r w:rsidR="009505CF" w:rsidRPr="00D443CB">
        <w:rPr>
          <w:rFonts w:ascii="Gill Sans MT" w:hAnsi="Gill Sans MT" w:cstheme="minorHAnsi"/>
        </w:rPr>
        <w:t xml:space="preserve"> One approach </w:t>
      </w:r>
      <w:r w:rsidR="007D0B0D" w:rsidRPr="00D443CB">
        <w:rPr>
          <w:rFonts w:ascii="Gill Sans MT" w:hAnsi="Gill Sans MT" w:cstheme="minorHAnsi"/>
        </w:rPr>
        <w:t>to do</w:t>
      </w:r>
      <w:r w:rsidR="009505CF" w:rsidRPr="00D443CB">
        <w:rPr>
          <w:rFonts w:ascii="Gill Sans MT" w:hAnsi="Gill Sans MT" w:cstheme="minorHAnsi"/>
        </w:rPr>
        <w:t xml:space="preserve"> this is to assign two or three external assessors to each core capacity to conduct an in-depth analysis </w:t>
      </w:r>
      <w:r w:rsidR="00F505E9" w:rsidRPr="00D443CB">
        <w:rPr>
          <w:rFonts w:ascii="Gill Sans MT" w:hAnsi="Gill Sans MT" w:cstheme="minorHAnsi"/>
        </w:rPr>
        <w:t xml:space="preserve">including a review of site visit feedback and summary statistics of the </w:t>
      </w:r>
      <w:r w:rsidR="009505CF" w:rsidRPr="00D443CB">
        <w:rPr>
          <w:rFonts w:ascii="Gill Sans MT" w:hAnsi="Gill Sans MT" w:cstheme="minorHAnsi"/>
        </w:rPr>
        <w:t xml:space="preserve">and propose stages </w:t>
      </w:r>
      <w:r w:rsidR="007D0B0D" w:rsidRPr="00D443CB">
        <w:rPr>
          <w:rFonts w:ascii="Gill Sans MT" w:hAnsi="Gill Sans MT" w:cstheme="minorHAnsi"/>
        </w:rPr>
        <w:t>and draft</w:t>
      </w:r>
      <w:r w:rsidR="009505CF" w:rsidRPr="00D443CB">
        <w:rPr>
          <w:rFonts w:ascii="Gill Sans MT" w:hAnsi="Gill Sans MT" w:cstheme="minorHAnsi"/>
        </w:rPr>
        <w:t xml:space="preserve"> justifications for </w:t>
      </w:r>
      <w:r w:rsidR="007D0B0D" w:rsidRPr="00D443CB">
        <w:rPr>
          <w:rFonts w:ascii="Gill Sans MT" w:hAnsi="Gill Sans MT" w:cstheme="minorHAnsi"/>
        </w:rPr>
        <w:t>the assigned stages</w:t>
      </w:r>
      <w:r w:rsidR="003E61E6" w:rsidRPr="00D443CB">
        <w:rPr>
          <w:rFonts w:ascii="Gill Sans MT" w:hAnsi="Gill Sans MT" w:cstheme="minorHAnsi"/>
        </w:rPr>
        <w:t xml:space="preserve"> (e.g., only 10 of 20 sites visited followed the national diagnostic algorithm)</w:t>
      </w:r>
      <w:r w:rsidR="009505CF" w:rsidRPr="00D443CB">
        <w:rPr>
          <w:rFonts w:ascii="Gill Sans MT" w:hAnsi="Gill Sans MT" w:cstheme="minorHAnsi"/>
        </w:rPr>
        <w:t>. The proposed stages would be presented to the entire team and consensus reached on the ‘final’ team score.</w:t>
      </w:r>
    </w:p>
    <w:p w14:paraId="211D1DEC" w14:textId="229E3787" w:rsidR="003D249D" w:rsidRPr="00D443CB" w:rsidRDefault="00BE252D" w:rsidP="00FC763C">
      <w:pPr>
        <w:pStyle w:val="ListParagraph"/>
        <w:widowControl w:val="0"/>
        <w:numPr>
          <w:ilvl w:val="0"/>
          <w:numId w:val="5"/>
        </w:numPr>
        <w:autoSpaceDE w:val="0"/>
        <w:autoSpaceDN w:val="0"/>
        <w:adjustRightInd w:val="0"/>
        <w:spacing w:after="0" w:line="240" w:lineRule="auto"/>
        <w:jc w:val="both"/>
        <w:rPr>
          <w:rFonts w:ascii="Gill Sans MT" w:hAnsi="Gill Sans MT" w:cstheme="minorBidi"/>
        </w:rPr>
      </w:pPr>
      <w:r w:rsidRPr="00D443CB">
        <w:rPr>
          <w:rFonts w:ascii="Gill Sans MT" w:hAnsi="Gill Sans MT" w:cstheme="minorBidi"/>
        </w:rPr>
        <w:t>T</w:t>
      </w:r>
      <w:r w:rsidR="003D249D" w:rsidRPr="00D443CB">
        <w:rPr>
          <w:rFonts w:ascii="Gill Sans MT" w:hAnsi="Gill Sans MT" w:cstheme="minorBidi"/>
        </w:rPr>
        <w:t xml:space="preserve">he </w:t>
      </w:r>
      <w:r w:rsidR="009505CF" w:rsidRPr="00D443CB">
        <w:rPr>
          <w:rFonts w:ascii="Gill Sans MT" w:hAnsi="Gill Sans MT" w:cstheme="minorBidi"/>
        </w:rPr>
        <w:t xml:space="preserve">external </w:t>
      </w:r>
      <w:r w:rsidR="003D249D" w:rsidRPr="00D443CB">
        <w:rPr>
          <w:rFonts w:ascii="Gill Sans MT" w:hAnsi="Gill Sans MT" w:cstheme="minorBidi"/>
        </w:rPr>
        <w:t>assessment team should devote two days to work on the report and recommendations</w:t>
      </w:r>
      <w:r w:rsidR="00591265" w:rsidRPr="00D443CB">
        <w:rPr>
          <w:rFonts w:ascii="Gill Sans MT" w:hAnsi="Gill Sans MT" w:cstheme="minorBidi"/>
        </w:rPr>
        <w:t xml:space="preserve"> while in country</w:t>
      </w:r>
      <w:r w:rsidR="003D249D" w:rsidRPr="00D443CB">
        <w:rPr>
          <w:rFonts w:ascii="Gill Sans MT" w:hAnsi="Gill Sans MT" w:cstheme="minorBidi"/>
        </w:rPr>
        <w:t>.</w:t>
      </w:r>
      <w:r w:rsidR="00E806E4" w:rsidRPr="00D443CB">
        <w:rPr>
          <w:rFonts w:ascii="Gill Sans MT" w:hAnsi="Gill Sans MT" w:cstheme="minorBidi"/>
        </w:rPr>
        <w:t xml:space="preserve"> One approach is to assign two or three external assessors to conduct an in-depth analysis of each thematic area and propose key findings and recommendations.</w:t>
      </w:r>
      <w:r w:rsidR="007D0B0D" w:rsidRPr="00D443CB">
        <w:rPr>
          <w:rFonts w:ascii="Gill Sans MT" w:hAnsi="Gill Sans MT" w:cstheme="minorBidi"/>
        </w:rPr>
        <w:t xml:space="preserve"> </w:t>
      </w:r>
      <w:r w:rsidR="00E806E4" w:rsidRPr="00D443CB">
        <w:rPr>
          <w:rFonts w:ascii="Gill Sans MT" w:hAnsi="Gill Sans MT" w:cstheme="minorBidi"/>
        </w:rPr>
        <w:t xml:space="preserve">The proposed findings and recommendations </w:t>
      </w:r>
      <w:r w:rsidR="002B30D7" w:rsidRPr="00D443CB">
        <w:rPr>
          <w:rFonts w:ascii="Gill Sans MT" w:hAnsi="Gill Sans MT" w:cstheme="minorBidi"/>
        </w:rPr>
        <w:t>are then</w:t>
      </w:r>
      <w:r w:rsidR="00E806E4" w:rsidRPr="00D443CB">
        <w:rPr>
          <w:rFonts w:ascii="Gill Sans MT" w:hAnsi="Gill Sans MT" w:cstheme="minorBidi"/>
        </w:rPr>
        <w:t xml:space="preserve"> presented to the entire external assessment team (see PowerPoint template). The external team should agree on and prioritize the recommendations for each thematic area.</w:t>
      </w:r>
      <w:r w:rsidR="00A615E1" w:rsidRPr="00D443CB">
        <w:rPr>
          <w:rFonts w:ascii="Gill Sans MT" w:hAnsi="Gill Sans MT" w:cstheme="minorBidi"/>
        </w:rPr>
        <w:t xml:space="preserve">  </w:t>
      </w:r>
      <w:r w:rsidR="00754F4A" w:rsidRPr="00D443CB">
        <w:rPr>
          <w:rFonts w:ascii="Gill Sans MT" w:hAnsi="Gill Sans MT" w:cstheme="minorBidi"/>
        </w:rPr>
        <w:t>Note that the analysis focuses on the national picture. The verification visits are not designed to generate sufficient data to allow stratifying the analys</w:t>
      </w:r>
      <w:r w:rsidR="00823C3F" w:rsidRPr="00D443CB">
        <w:rPr>
          <w:rFonts w:ascii="Gill Sans MT" w:hAnsi="Gill Sans MT" w:cstheme="minorBidi"/>
        </w:rPr>
        <w:t>e</w:t>
      </w:r>
      <w:r w:rsidR="00754F4A" w:rsidRPr="00D443CB">
        <w:rPr>
          <w:rFonts w:ascii="Gill Sans MT" w:hAnsi="Gill Sans MT" w:cstheme="minorBidi"/>
        </w:rPr>
        <w:t>s by tier or type of laboratory, although generalizations may be possible (e.g., all supervisory laboratories lack sufficient funds to conduct supervisory visits).</w:t>
      </w:r>
    </w:p>
    <w:p w14:paraId="196A0660" w14:textId="7CBEE3ED" w:rsidR="00E806E4" w:rsidRPr="00D443CB" w:rsidRDefault="00E806E4" w:rsidP="00FC763C">
      <w:pPr>
        <w:pStyle w:val="ListParagraph"/>
        <w:widowControl w:val="0"/>
        <w:numPr>
          <w:ilvl w:val="0"/>
          <w:numId w:val="5"/>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The external assessment team should </w:t>
      </w:r>
      <w:r w:rsidR="007D0B0D" w:rsidRPr="00D443CB">
        <w:rPr>
          <w:rFonts w:ascii="Gill Sans MT" w:hAnsi="Gill Sans MT" w:cstheme="minorHAnsi"/>
        </w:rPr>
        <w:t>use a consensus</w:t>
      </w:r>
      <w:r w:rsidR="002B30D7" w:rsidRPr="00D443CB">
        <w:rPr>
          <w:rFonts w:ascii="Gill Sans MT" w:hAnsi="Gill Sans MT" w:cstheme="minorHAnsi"/>
        </w:rPr>
        <w:t>-</w:t>
      </w:r>
      <w:r w:rsidR="007D0B0D" w:rsidRPr="00D443CB">
        <w:rPr>
          <w:rFonts w:ascii="Gill Sans MT" w:hAnsi="Gill Sans MT" w:cstheme="minorHAnsi"/>
        </w:rPr>
        <w:t>driven</w:t>
      </w:r>
      <w:r w:rsidR="002B30D7" w:rsidRPr="00D443CB">
        <w:rPr>
          <w:rFonts w:ascii="Gill Sans MT" w:hAnsi="Gill Sans MT" w:cstheme="minorHAnsi"/>
        </w:rPr>
        <w:t xml:space="preserve"> </w:t>
      </w:r>
      <w:r w:rsidR="007D0B0D" w:rsidRPr="00D443CB">
        <w:rPr>
          <w:rFonts w:ascii="Gill Sans MT" w:hAnsi="Gill Sans MT" w:cstheme="minorHAnsi"/>
        </w:rPr>
        <w:t>approach to</w:t>
      </w:r>
      <w:r w:rsidRPr="00D443CB">
        <w:rPr>
          <w:rFonts w:ascii="Gill Sans MT" w:hAnsi="Gill Sans MT" w:cstheme="minorHAnsi"/>
        </w:rPr>
        <w:t xml:space="preserve"> generate a list of 3 to </w:t>
      </w:r>
      <w:r w:rsidR="007D0B0D" w:rsidRPr="00D443CB">
        <w:rPr>
          <w:rFonts w:ascii="Gill Sans MT" w:hAnsi="Gill Sans MT" w:cstheme="minorHAnsi"/>
        </w:rPr>
        <w:t>6</w:t>
      </w:r>
      <w:r w:rsidRPr="00D443CB">
        <w:rPr>
          <w:rFonts w:ascii="Gill Sans MT" w:hAnsi="Gill Sans MT" w:cstheme="minorHAnsi"/>
        </w:rPr>
        <w:t xml:space="preserve"> </w:t>
      </w:r>
      <w:r w:rsidR="007D0B0D" w:rsidRPr="00D443CB">
        <w:rPr>
          <w:rFonts w:ascii="Gill Sans MT" w:hAnsi="Gill Sans MT" w:cstheme="minorHAnsi"/>
        </w:rPr>
        <w:t>key</w:t>
      </w:r>
      <w:r w:rsidRPr="00D443CB">
        <w:rPr>
          <w:rFonts w:ascii="Gill Sans MT" w:hAnsi="Gill Sans MT" w:cstheme="minorHAnsi"/>
        </w:rPr>
        <w:t xml:space="preserve"> recommendations and interventions</w:t>
      </w:r>
      <w:r w:rsidR="007D0B0D" w:rsidRPr="00D443CB">
        <w:rPr>
          <w:rFonts w:ascii="Gill Sans MT" w:hAnsi="Gill Sans MT" w:cstheme="minorHAnsi"/>
        </w:rPr>
        <w:t xml:space="preserve">. These </w:t>
      </w:r>
      <w:r w:rsidR="00527A73" w:rsidRPr="00D443CB">
        <w:rPr>
          <w:rFonts w:ascii="Gill Sans MT" w:hAnsi="Gill Sans MT" w:cstheme="minorHAnsi"/>
        </w:rPr>
        <w:t xml:space="preserve">‘key </w:t>
      </w:r>
      <w:r w:rsidR="00CF535A" w:rsidRPr="00D443CB">
        <w:rPr>
          <w:rFonts w:ascii="Gill Sans MT" w:hAnsi="Gill Sans MT" w:cstheme="minorHAnsi"/>
        </w:rPr>
        <w:t>messages’</w:t>
      </w:r>
      <w:r w:rsidR="00527A73" w:rsidRPr="00D443CB">
        <w:rPr>
          <w:rFonts w:ascii="Gill Sans MT" w:hAnsi="Gill Sans MT" w:cstheme="minorHAnsi"/>
        </w:rPr>
        <w:t xml:space="preserve"> </w:t>
      </w:r>
      <w:r w:rsidR="007D0B0D" w:rsidRPr="00D443CB">
        <w:rPr>
          <w:rFonts w:ascii="Gill Sans MT" w:hAnsi="Gill Sans MT" w:cstheme="minorHAnsi"/>
        </w:rPr>
        <w:t>should represent the most important findings and recommendations to communicate to senior management and decision makers.</w:t>
      </w:r>
    </w:p>
    <w:p w14:paraId="1B84FFCB" w14:textId="429B9E9C" w:rsidR="00CC069D" w:rsidRPr="00D443CB" w:rsidRDefault="00CC069D" w:rsidP="00FC763C">
      <w:pPr>
        <w:pStyle w:val="ListParagraph"/>
        <w:widowControl w:val="0"/>
        <w:numPr>
          <w:ilvl w:val="0"/>
          <w:numId w:val="5"/>
        </w:numPr>
        <w:autoSpaceDE w:val="0"/>
        <w:autoSpaceDN w:val="0"/>
        <w:adjustRightInd w:val="0"/>
        <w:spacing w:after="0" w:line="240" w:lineRule="auto"/>
        <w:jc w:val="both"/>
        <w:rPr>
          <w:rFonts w:ascii="Gill Sans MT" w:hAnsi="Gill Sans MT" w:cstheme="minorBidi"/>
        </w:rPr>
      </w:pPr>
      <w:r w:rsidRPr="00D443CB">
        <w:rPr>
          <w:rFonts w:ascii="Gill Sans MT" w:hAnsi="Gill Sans MT" w:cstheme="minorBidi"/>
        </w:rPr>
        <w:t>A draft of the key findings and recommendations and the debriefing presentations should be shared with the NTP and NTRL for their review and comments.</w:t>
      </w:r>
      <w:r w:rsidR="00A615E1" w:rsidRPr="00D443CB">
        <w:rPr>
          <w:rFonts w:ascii="Gill Sans MT" w:hAnsi="Gill Sans MT" w:cstheme="minorBidi"/>
        </w:rPr>
        <w:t xml:space="preserve"> PowerPoint templates for the debriefing presentations are </w:t>
      </w:r>
      <w:r w:rsidR="00F220AC" w:rsidRPr="00D443CB">
        <w:rPr>
          <w:rFonts w:ascii="Gill Sans MT" w:hAnsi="Gill Sans MT" w:cstheme="minorBidi"/>
        </w:rPr>
        <w:t>available</w:t>
      </w:r>
      <w:r w:rsidR="00A615E1" w:rsidRPr="00D443CB">
        <w:rPr>
          <w:rFonts w:ascii="Gill Sans MT" w:hAnsi="Gill Sans MT" w:cstheme="minorBidi"/>
        </w:rPr>
        <w:t>.</w:t>
      </w:r>
    </w:p>
    <w:p w14:paraId="39455688" w14:textId="04A62A4C" w:rsidR="00A615E1" w:rsidRPr="00D443CB" w:rsidRDefault="00A615E1" w:rsidP="00FC763C">
      <w:pPr>
        <w:pStyle w:val="ListParagraph"/>
        <w:widowControl w:val="0"/>
        <w:numPr>
          <w:ilvl w:val="1"/>
          <w:numId w:val="5"/>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The debriefing should </w:t>
      </w:r>
      <w:r w:rsidR="00054162" w:rsidRPr="00D443CB">
        <w:rPr>
          <w:rFonts w:ascii="Gill Sans MT" w:hAnsi="Gill Sans MT" w:cstheme="minorHAnsi"/>
        </w:rPr>
        <w:t xml:space="preserve">include </w:t>
      </w:r>
      <w:r w:rsidR="00527A73" w:rsidRPr="00D443CB">
        <w:rPr>
          <w:rFonts w:ascii="Gill Sans MT" w:hAnsi="Gill Sans MT" w:cstheme="minorHAnsi"/>
        </w:rPr>
        <w:t>1) a brief overview of the assessment process and TB-Net Tool, 2) key messages (3-6 priority recommendations and interventions), 3) findings and recommendations for each core capacity, 4) next steps and 5) acknowledgements.</w:t>
      </w:r>
      <w:r w:rsidR="00054162" w:rsidRPr="00D443CB">
        <w:rPr>
          <w:rFonts w:ascii="Gill Sans MT" w:hAnsi="Gill Sans MT" w:cstheme="minorHAnsi"/>
        </w:rPr>
        <w:t xml:space="preserve"> The debriefing may be done as one presentation or split into two presentations.  </w:t>
      </w:r>
    </w:p>
    <w:p w14:paraId="00969101" w14:textId="1B45D714" w:rsidR="00527A73" w:rsidRPr="00D443CB" w:rsidRDefault="00527A73" w:rsidP="00FC763C">
      <w:pPr>
        <w:pStyle w:val="ListParagraph"/>
        <w:widowControl w:val="0"/>
        <w:numPr>
          <w:ilvl w:val="1"/>
          <w:numId w:val="5"/>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The debriefing may also include a presentation of site-specific findings and recommendations.</w:t>
      </w:r>
      <w:r w:rsidR="00054162" w:rsidRPr="00D443CB">
        <w:rPr>
          <w:rFonts w:ascii="Gill Sans MT" w:hAnsi="Gill Sans MT" w:cstheme="minorHAnsi"/>
        </w:rPr>
        <w:t xml:space="preserve"> This presentation may be assembled from the feedback from each site-assessment team</w:t>
      </w:r>
      <w:r w:rsidR="002D3634" w:rsidRPr="00D443CB">
        <w:rPr>
          <w:rFonts w:ascii="Gill Sans MT" w:hAnsi="Gill Sans MT" w:cstheme="minorHAnsi"/>
        </w:rPr>
        <w:t>.</w:t>
      </w:r>
      <w:r w:rsidR="00054162" w:rsidRPr="00D443CB">
        <w:rPr>
          <w:rFonts w:ascii="Gill Sans MT" w:hAnsi="Gill Sans MT" w:cstheme="minorHAnsi"/>
        </w:rPr>
        <w:t xml:space="preserve"> </w:t>
      </w:r>
    </w:p>
    <w:p w14:paraId="5F01244C" w14:textId="7EF0B80B" w:rsidR="00FF1935" w:rsidRPr="00D443CB" w:rsidRDefault="003D249D"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On the final day of the mission, t</w:t>
      </w:r>
      <w:r w:rsidR="00FF1935" w:rsidRPr="00D443CB">
        <w:rPr>
          <w:rFonts w:ascii="Gill Sans MT" w:hAnsi="Gill Sans MT" w:cstheme="minorHAnsi"/>
        </w:rPr>
        <w:t xml:space="preserve">he assessment team </w:t>
      </w:r>
      <w:r w:rsidR="00B71466" w:rsidRPr="00D443CB">
        <w:rPr>
          <w:rFonts w:ascii="Gill Sans MT" w:hAnsi="Gill Sans MT" w:cstheme="minorHAnsi"/>
        </w:rPr>
        <w:t xml:space="preserve">should </w:t>
      </w:r>
      <w:r w:rsidR="00FF1935" w:rsidRPr="00D443CB">
        <w:rPr>
          <w:rFonts w:ascii="Gill Sans MT" w:hAnsi="Gill Sans MT" w:cstheme="minorHAnsi"/>
        </w:rPr>
        <w:t>meet with the in-country team</w:t>
      </w:r>
      <w:r w:rsidRPr="00D443CB">
        <w:rPr>
          <w:rFonts w:ascii="Gill Sans MT" w:hAnsi="Gill Sans MT" w:cstheme="minorHAnsi"/>
        </w:rPr>
        <w:t>, M</w:t>
      </w:r>
      <w:r w:rsidR="00E00815" w:rsidRPr="00D443CB">
        <w:rPr>
          <w:rFonts w:ascii="Gill Sans MT" w:hAnsi="Gill Sans MT" w:cstheme="minorHAnsi"/>
        </w:rPr>
        <w:t>o</w:t>
      </w:r>
      <w:r w:rsidRPr="00D443CB">
        <w:rPr>
          <w:rFonts w:ascii="Gill Sans MT" w:hAnsi="Gill Sans MT" w:cstheme="minorHAnsi"/>
        </w:rPr>
        <w:t>H and NTP</w:t>
      </w:r>
      <w:r w:rsidR="00FF1935" w:rsidRPr="00D443CB">
        <w:rPr>
          <w:rFonts w:ascii="Gill Sans MT" w:hAnsi="Gill Sans MT" w:cstheme="minorHAnsi"/>
        </w:rPr>
        <w:t xml:space="preserve"> and provide a verbal debrief including highlights of findings and an overview of recommendations.</w:t>
      </w:r>
      <w:r w:rsidR="00754F4A" w:rsidRPr="00D443CB">
        <w:rPr>
          <w:rFonts w:ascii="Gill Sans MT" w:hAnsi="Gill Sans MT" w:cstheme="minorHAnsi"/>
        </w:rPr>
        <w:t xml:space="preserve"> The external team lead(s) has the primary responsibility for presenting the debriefing.</w:t>
      </w:r>
    </w:p>
    <w:p w14:paraId="5C810040" w14:textId="1BB64AA3"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The above meeting should allow time for discussion and the team should provide a positive and </w:t>
      </w:r>
      <w:r w:rsidRPr="00D443CB">
        <w:rPr>
          <w:rFonts w:ascii="Gill Sans MT" w:hAnsi="Gill Sans MT" w:cstheme="minorHAnsi"/>
        </w:rPr>
        <w:lastRenderedPageBreak/>
        <w:t>constructive environment.</w:t>
      </w:r>
    </w:p>
    <w:p w14:paraId="5C0950C4" w14:textId="77777777" w:rsidR="00FF1935" w:rsidRPr="00D443CB" w:rsidRDefault="00FF1935" w:rsidP="008F79FE">
      <w:pPr>
        <w:widowControl w:val="0"/>
        <w:autoSpaceDE w:val="0"/>
        <w:autoSpaceDN w:val="0"/>
        <w:adjustRightInd w:val="0"/>
        <w:spacing w:after="0" w:line="240" w:lineRule="auto"/>
        <w:jc w:val="both"/>
        <w:rPr>
          <w:rFonts w:ascii="Gill Sans MT" w:hAnsi="Gill Sans MT" w:cstheme="minorHAnsi"/>
        </w:rPr>
      </w:pPr>
    </w:p>
    <w:p w14:paraId="5525A127" w14:textId="7486E635" w:rsidR="00FF1935" w:rsidRPr="00D443CB" w:rsidRDefault="00FF1935" w:rsidP="008F79FE">
      <w:pPr>
        <w:pStyle w:val="Heading2"/>
        <w:spacing w:line="240" w:lineRule="auto"/>
        <w:jc w:val="both"/>
        <w:rPr>
          <w:rFonts w:ascii="Gill Sans MT" w:hAnsi="Gill Sans MT" w:cstheme="minorHAnsi"/>
        </w:rPr>
      </w:pPr>
      <w:bookmarkStart w:id="38" w:name="_Toc37317830"/>
      <w:r w:rsidRPr="00D443CB">
        <w:rPr>
          <w:rFonts w:ascii="Gill Sans MT" w:hAnsi="Gill Sans MT" w:cstheme="minorHAnsi"/>
          <w:bCs/>
          <w:sz w:val="24"/>
          <w:szCs w:val="24"/>
        </w:rPr>
        <w:t>Step 3:</w:t>
      </w:r>
      <w:r w:rsidR="007E344D" w:rsidRPr="00D443CB">
        <w:rPr>
          <w:rFonts w:ascii="Gill Sans MT" w:hAnsi="Gill Sans MT" w:cstheme="minorHAnsi"/>
          <w:bCs/>
          <w:sz w:val="24"/>
        </w:rPr>
        <w:t xml:space="preserve"> Post-a</w:t>
      </w:r>
      <w:r w:rsidRPr="00D443CB">
        <w:rPr>
          <w:rFonts w:ascii="Gill Sans MT" w:hAnsi="Gill Sans MT" w:cstheme="minorHAnsi"/>
          <w:bCs/>
          <w:sz w:val="24"/>
        </w:rPr>
        <w:t>ssessment</w:t>
      </w:r>
      <w:r w:rsidR="00E76901" w:rsidRPr="00D443CB">
        <w:rPr>
          <w:rFonts w:ascii="Gill Sans MT" w:hAnsi="Gill Sans MT" w:cstheme="minorHAnsi"/>
          <w:bCs/>
          <w:sz w:val="24"/>
        </w:rPr>
        <w:t xml:space="preserve"> </w:t>
      </w:r>
      <w:r w:rsidR="007E344D" w:rsidRPr="00D443CB">
        <w:rPr>
          <w:rFonts w:ascii="Gill Sans MT" w:hAnsi="Gill Sans MT" w:cstheme="minorHAnsi"/>
          <w:bCs/>
          <w:sz w:val="24"/>
        </w:rPr>
        <w:t>activities</w:t>
      </w:r>
      <w:bookmarkEnd w:id="38"/>
    </w:p>
    <w:p w14:paraId="7813D840" w14:textId="4D82244D" w:rsidR="00FF1935" w:rsidRPr="00D443CB" w:rsidRDefault="00FF1935" w:rsidP="008F79FE">
      <w:pPr>
        <w:pStyle w:val="ListParagraph"/>
        <w:widowControl w:val="0"/>
        <w:numPr>
          <w:ilvl w:val="0"/>
          <w:numId w:val="2"/>
        </w:numPr>
        <w:autoSpaceDE w:val="0"/>
        <w:autoSpaceDN w:val="0"/>
        <w:adjustRightInd w:val="0"/>
        <w:spacing w:after="0" w:line="240" w:lineRule="auto"/>
        <w:jc w:val="both"/>
        <w:rPr>
          <w:rFonts w:ascii="Gill Sans MT" w:hAnsi="Gill Sans MT" w:cstheme="minorBidi"/>
        </w:rPr>
      </w:pPr>
      <w:r w:rsidRPr="00D443CB">
        <w:rPr>
          <w:rFonts w:ascii="Gill Sans MT" w:hAnsi="Gill Sans MT" w:cstheme="minorBidi"/>
        </w:rPr>
        <w:t xml:space="preserve">The </w:t>
      </w:r>
      <w:r w:rsidR="007D0B0D" w:rsidRPr="00D443CB">
        <w:rPr>
          <w:rFonts w:ascii="Gill Sans MT" w:hAnsi="Gill Sans MT" w:cstheme="minorBidi"/>
        </w:rPr>
        <w:t xml:space="preserve">external </w:t>
      </w:r>
      <w:r w:rsidRPr="00D443CB">
        <w:rPr>
          <w:rFonts w:ascii="Gill Sans MT" w:hAnsi="Gill Sans MT" w:cstheme="minorBidi"/>
        </w:rPr>
        <w:t>assessment team</w:t>
      </w:r>
      <w:r w:rsidR="007D0B0D" w:rsidRPr="00D443CB">
        <w:rPr>
          <w:rFonts w:ascii="Gill Sans MT" w:hAnsi="Gill Sans MT" w:cstheme="minorBidi"/>
        </w:rPr>
        <w:t>, led by the Team Lead (s)</w:t>
      </w:r>
      <w:r w:rsidRPr="00D443CB">
        <w:rPr>
          <w:rFonts w:ascii="Gill Sans MT" w:hAnsi="Gill Sans MT" w:cstheme="minorBidi"/>
        </w:rPr>
        <w:t xml:space="preserve"> will finalize the </w:t>
      </w:r>
      <w:r w:rsidR="00B71466" w:rsidRPr="00D443CB">
        <w:rPr>
          <w:rFonts w:ascii="Gill Sans MT" w:hAnsi="Gill Sans MT" w:cstheme="minorBidi"/>
        </w:rPr>
        <w:t xml:space="preserve">stages assigned for each component of the </w:t>
      </w:r>
      <w:r w:rsidR="005805FA" w:rsidRPr="00D443CB">
        <w:rPr>
          <w:rFonts w:ascii="Gill Sans MT" w:hAnsi="Gill Sans MT" w:cstheme="minorBidi"/>
        </w:rPr>
        <w:t>TB-Net Tool</w:t>
      </w:r>
      <w:r w:rsidRPr="00D443CB">
        <w:rPr>
          <w:rFonts w:ascii="Gill Sans MT" w:hAnsi="Gill Sans MT" w:cstheme="minorBidi"/>
        </w:rPr>
        <w:t xml:space="preserve">, complete qualitative and semi-quantitative summaries, </w:t>
      </w:r>
      <w:r w:rsidR="007D0B0D" w:rsidRPr="00D443CB">
        <w:rPr>
          <w:rFonts w:ascii="Gill Sans MT" w:hAnsi="Gill Sans MT" w:cstheme="minorBidi"/>
        </w:rPr>
        <w:t xml:space="preserve">and </w:t>
      </w:r>
      <w:r w:rsidR="00B71466" w:rsidRPr="00D443CB">
        <w:rPr>
          <w:rFonts w:ascii="Gill Sans MT" w:hAnsi="Gill Sans MT" w:cstheme="minorBidi"/>
        </w:rPr>
        <w:t xml:space="preserve">prepare a </w:t>
      </w:r>
      <w:r w:rsidR="007D0B0D" w:rsidRPr="00D443CB">
        <w:rPr>
          <w:rFonts w:ascii="Gill Sans MT" w:hAnsi="Gill Sans MT" w:cstheme="minorBidi"/>
        </w:rPr>
        <w:t xml:space="preserve">draft </w:t>
      </w:r>
      <w:r w:rsidR="00B71466" w:rsidRPr="00D443CB">
        <w:rPr>
          <w:rFonts w:ascii="Gill Sans MT" w:hAnsi="Gill Sans MT" w:cstheme="minorBidi"/>
        </w:rPr>
        <w:t>final report</w:t>
      </w:r>
      <w:r w:rsidR="005328B0" w:rsidRPr="00D443CB">
        <w:rPr>
          <w:rFonts w:ascii="Gill Sans MT" w:hAnsi="Gill Sans MT" w:cstheme="minorBidi"/>
        </w:rPr>
        <w:t xml:space="preserve"> (</w:t>
      </w:r>
      <w:r w:rsidR="00CC77C2" w:rsidRPr="00D443CB">
        <w:rPr>
          <w:rFonts w:ascii="Gill Sans MT" w:hAnsi="Gill Sans MT" w:cstheme="minorBidi"/>
        </w:rPr>
        <w:t>a</w:t>
      </w:r>
      <w:r w:rsidR="00F220AC" w:rsidRPr="00D443CB">
        <w:rPr>
          <w:rFonts w:ascii="Gill Sans MT" w:hAnsi="Gill Sans MT" w:cstheme="minorBidi"/>
        </w:rPr>
        <w:t xml:space="preserve"> template is available)</w:t>
      </w:r>
      <w:r w:rsidR="007D0B0D" w:rsidRPr="00D443CB">
        <w:rPr>
          <w:rFonts w:ascii="Gill Sans MT" w:hAnsi="Gill Sans MT" w:cstheme="minorBidi"/>
        </w:rPr>
        <w:t>. The draft report should be shared with the all external assessors, the NTP and NTRL for their review and comments. After this review, a final report should be produced and the r</w:t>
      </w:r>
      <w:r w:rsidR="00E23B20" w:rsidRPr="00D443CB">
        <w:rPr>
          <w:rFonts w:ascii="Gill Sans MT" w:hAnsi="Gill Sans MT" w:cstheme="minorBidi"/>
        </w:rPr>
        <w:t>e</w:t>
      </w:r>
      <w:r w:rsidR="007D0B0D" w:rsidRPr="00D443CB">
        <w:rPr>
          <w:rFonts w:ascii="Gill Sans MT" w:hAnsi="Gill Sans MT" w:cstheme="minorBidi"/>
        </w:rPr>
        <w:t xml:space="preserve">port and relevant </w:t>
      </w:r>
      <w:r w:rsidR="00416C85" w:rsidRPr="00D443CB">
        <w:rPr>
          <w:rFonts w:ascii="Gill Sans MT" w:hAnsi="Gill Sans MT" w:cstheme="minorBidi"/>
        </w:rPr>
        <w:t>documents</w:t>
      </w:r>
      <w:r w:rsidRPr="00D443CB">
        <w:rPr>
          <w:rFonts w:ascii="Gill Sans MT" w:hAnsi="Gill Sans MT" w:cstheme="minorBidi"/>
        </w:rPr>
        <w:t xml:space="preserve"> </w:t>
      </w:r>
      <w:r w:rsidR="00416C85" w:rsidRPr="00D443CB">
        <w:rPr>
          <w:rFonts w:ascii="Gill Sans MT" w:hAnsi="Gill Sans MT" w:cstheme="minorBidi"/>
        </w:rPr>
        <w:t>submitted</w:t>
      </w:r>
      <w:r w:rsidRPr="00D443CB">
        <w:rPr>
          <w:rFonts w:ascii="Gill Sans MT" w:hAnsi="Gill Sans MT" w:cstheme="minorBidi"/>
        </w:rPr>
        <w:t xml:space="preserve"> to </w:t>
      </w:r>
      <w:r w:rsidR="00827AB7" w:rsidRPr="00D443CB">
        <w:rPr>
          <w:rFonts w:ascii="Gill Sans MT" w:hAnsi="Gill Sans MT" w:cstheme="minorBidi"/>
        </w:rPr>
        <w:t>the National</w:t>
      </w:r>
      <w:r w:rsidR="00D165EA" w:rsidRPr="00D443CB">
        <w:rPr>
          <w:rFonts w:ascii="Gill Sans MT" w:hAnsi="Gill Sans MT" w:cstheme="minorBidi"/>
        </w:rPr>
        <w:t xml:space="preserve"> TB </w:t>
      </w:r>
      <w:r w:rsidR="00827AB7" w:rsidRPr="00D443CB">
        <w:rPr>
          <w:rFonts w:ascii="Gill Sans MT" w:hAnsi="Gill Sans MT" w:cstheme="minorBidi"/>
        </w:rPr>
        <w:t>Program</w:t>
      </w:r>
      <w:r w:rsidR="00327549" w:rsidRPr="00D443CB">
        <w:rPr>
          <w:rFonts w:ascii="Gill Sans MT" w:hAnsi="Gill Sans MT" w:cstheme="minorBidi"/>
        </w:rPr>
        <w:t>.</w:t>
      </w:r>
    </w:p>
    <w:p w14:paraId="7E1C52F8" w14:textId="1FA7EB15" w:rsidR="00EF4E86" w:rsidRPr="00D443CB" w:rsidRDefault="00EF4E86" w:rsidP="008F79FE">
      <w:pPr>
        <w:widowControl w:val="0"/>
        <w:autoSpaceDE w:val="0"/>
        <w:autoSpaceDN w:val="0"/>
        <w:adjustRightInd w:val="0"/>
        <w:spacing w:after="0" w:line="240" w:lineRule="auto"/>
        <w:jc w:val="both"/>
        <w:rPr>
          <w:rFonts w:ascii="Gill Sans MT" w:hAnsi="Gill Sans MT" w:cstheme="minorHAnsi"/>
        </w:rPr>
      </w:pPr>
    </w:p>
    <w:p w14:paraId="07F24931" w14:textId="676C8F56" w:rsidR="00EF4E86" w:rsidRPr="00D443CB" w:rsidRDefault="00EF4E86" w:rsidP="008F79FE">
      <w:pPr>
        <w:widowControl w:val="0"/>
        <w:autoSpaceDE w:val="0"/>
        <w:autoSpaceDN w:val="0"/>
        <w:adjustRightInd w:val="0"/>
        <w:spacing w:after="0" w:line="240" w:lineRule="auto"/>
        <w:jc w:val="both"/>
        <w:rPr>
          <w:rFonts w:ascii="Gill Sans MT" w:hAnsi="Gill Sans MT" w:cstheme="minorHAnsi"/>
        </w:rPr>
      </w:pPr>
      <w:r w:rsidRPr="00D443CB">
        <w:rPr>
          <w:rFonts w:ascii="Gill Sans MT" w:hAnsi="Gill Sans MT" w:cstheme="minorHAnsi"/>
        </w:rPr>
        <w:t xml:space="preserve">A critical aspect of a network assessment is the country follow-up. Countries should review the findings and recommendations of the assessment, empower </w:t>
      </w:r>
      <w:r w:rsidR="00986EC6" w:rsidRPr="00D443CB">
        <w:rPr>
          <w:rFonts w:ascii="Gill Sans MT" w:hAnsi="Gill Sans MT" w:cstheme="minorHAnsi"/>
        </w:rPr>
        <w:t xml:space="preserve">a </w:t>
      </w:r>
      <w:r w:rsidRPr="00D443CB">
        <w:rPr>
          <w:rFonts w:ascii="Gill Sans MT" w:hAnsi="Gill Sans MT" w:cstheme="minorHAnsi"/>
        </w:rPr>
        <w:t xml:space="preserve">national Laboratory Technical Work group or an </w:t>
      </w:r>
      <w:r w:rsidRPr="00D443CB">
        <w:rPr>
          <w:rFonts w:ascii="Gill Sans MT" w:hAnsi="Gill Sans MT" w:cstheme="minorHAnsi"/>
          <w:i/>
        </w:rPr>
        <w:t>ad hoc</w:t>
      </w:r>
      <w:r w:rsidRPr="00D443CB">
        <w:rPr>
          <w:rFonts w:ascii="Gill Sans MT" w:hAnsi="Gill Sans MT" w:cstheme="minorHAnsi"/>
        </w:rPr>
        <w:t xml:space="preserve"> workgroup to address the finding</w:t>
      </w:r>
      <w:r w:rsidR="00B535DA" w:rsidRPr="00D443CB">
        <w:rPr>
          <w:rFonts w:ascii="Gill Sans MT" w:hAnsi="Gill Sans MT" w:cstheme="minorHAnsi"/>
        </w:rPr>
        <w:t>s</w:t>
      </w:r>
      <w:r w:rsidRPr="00D443CB">
        <w:rPr>
          <w:rFonts w:ascii="Gill Sans MT" w:hAnsi="Gill Sans MT" w:cstheme="minorHAnsi"/>
        </w:rPr>
        <w:t xml:space="preserve"> and recommendations</w:t>
      </w:r>
      <w:r w:rsidR="00B535DA" w:rsidRPr="00D443CB">
        <w:rPr>
          <w:rFonts w:ascii="Gill Sans MT" w:hAnsi="Gill Sans MT" w:cstheme="minorHAnsi"/>
        </w:rPr>
        <w:t xml:space="preserve"> and</w:t>
      </w:r>
      <w:r w:rsidRPr="00D443CB">
        <w:rPr>
          <w:rFonts w:ascii="Gill Sans MT" w:hAnsi="Gill Sans MT" w:cstheme="minorHAnsi"/>
        </w:rPr>
        <w:t xml:space="preserve"> develop a costed workplan with clearly defined and prioritized activities, responsibilities, deliverables and timeline. </w:t>
      </w:r>
      <w:r w:rsidR="001C734F" w:rsidRPr="00D443CB">
        <w:rPr>
          <w:rFonts w:ascii="Gill Sans MT" w:hAnsi="Gill Sans MT" w:cstheme="minorHAnsi"/>
        </w:rPr>
        <w:t xml:space="preserve">Progress in implementing the workplan and improving the TB diagnostic network must be systematically monitored. </w:t>
      </w:r>
      <w:r w:rsidR="00175F7E" w:rsidRPr="00D443CB">
        <w:rPr>
          <w:rFonts w:ascii="Gill Sans MT" w:hAnsi="Gill Sans MT" w:cstheme="minorHAnsi"/>
        </w:rPr>
        <w:t xml:space="preserve">A follow-up assessment may be done by internal assessors two or three years after the external assessment to assess progress. </w:t>
      </w:r>
      <w:r w:rsidRPr="00D443CB">
        <w:rPr>
          <w:rFonts w:ascii="Gill Sans MT" w:hAnsi="Gill Sans MT" w:cstheme="minorHAnsi"/>
        </w:rPr>
        <w:t>The country should engage technical assistance as needed.</w:t>
      </w:r>
    </w:p>
    <w:p w14:paraId="666C7165" w14:textId="1D602050" w:rsidR="00A678B5" w:rsidRPr="00D443CB" w:rsidRDefault="00A678B5" w:rsidP="008F79FE">
      <w:pPr>
        <w:spacing w:after="0" w:line="240" w:lineRule="auto"/>
        <w:jc w:val="both"/>
        <w:rPr>
          <w:rFonts w:ascii="Gill Sans MT" w:hAnsi="Gill Sans MT" w:cs="Calibri"/>
          <w:sz w:val="24"/>
          <w:szCs w:val="24"/>
        </w:rPr>
      </w:pPr>
      <w:r w:rsidRPr="00D443CB">
        <w:rPr>
          <w:rFonts w:ascii="Gill Sans MT" w:hAnsi="Gill Sans MT" w:cs="Calibri"/>
          <w:sz w:val="24"/>
          <w:szCs w:val="24"/>
        </w:rPr>
        <w:br w:type="page"/>
      </w:r>
    </w:p>
    <w:p w14:paraId="143F116B" w14:textId="48D4E32D" w:rsidR="00FF1935" w:rsidRPr="00D443CB" w:rsidRDefault="00652918" w:rsidP="003F0903">
      <w:pPr>
        <w:widowControl w:val="0"/>
        <w:autoSpaceDE w:val="0"/>
        <w:autoSpaceDN w:val="0"/>
        <w:adjustRightInd w:val="0"/>
        <w:spacing w:after="0" w:line="240" w:lineRule="auto"/>
        <w:ind w:right="-14"/>
        <w:outlineLvl w:val="0"/>
        <w:rPr>
          <w:rFonts w:ascii="Gill Sans MT" w:hAnsi="Gill Sans MT" w:cstheme="minorHAnsi"/>
          <w:sz w:val="28"/>
          <w:szCs w:val="32"/>
        </w:rPr>
      </w:pPr>
      <w:bookmarkStart w:id="39" w:name="_Toc37317831"/>
      <w:r w:rsidRPr="00D443CB">
        <w:rPr>
          <w:rFonts w:ascii="Gill Sans MT" w:hAnsi="Gill Sans MT" w:cstheme="minorHAnsi"/>
          <w:sz w:val="28"/>
          <w:szCs w:val="32"/>
        </w:rPr>
        <w:lastRenderedPageBreak/>
        <w:t>Additional resources</w:t>
      </w:r>
      <w:bookmarkEnd w:id="39"/>
      <w:r w:rsidRPr="00D443CB">
        <w:rPr>
          <w:rFonts w:ascii="Gill Sans MT" w:hAnsi="Gill Sans MT" w:cstheme="minorHAnsi"/>
          <w:sz w:val="28"/>
          <w:szCs w:val="32"/>
        </w:rPr>
        <w:t xml:space="preserve"> </w:t>
      </w:r>
    </w:p>
    <w:p w14:paraId="191B1019" w14:textId="77777777" w:rsidR="00E224F5" w:rsidRPr="00D443CB" w:rsidRDefault="00E224F5" w:rsidP="009A36D7">
      <w:pPr>
        <w:widowControl w:val="0"/>
        <w:autoSpaceDE w:val="0"/>
        <w:autoSpaceDN w:val="0"/>
        <w:adjustRightInd w:val="0"/>
        <w:spacing w:after="0" w:line="240" w:lineRule="auto"/>
        <w:rPr>
          <w:rFonts w:ascii="Gill Sans MT" w:hAnsi="Gill Sans MT" w:cstheme="minorHAnsi"/>
        </w:rPr>
      </w:pPr>
    </w:p>
    <w:p w14:paraId="54A4B35F" w14:textId="685FE092"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GLI Model TB Diagnostic Algorithms</w:t>
      </w:r>
      <w:r w:rsidRPr="00D443CB">
        <w:rPr>
          <w:rFonts w:ascii="Gill Sans MT" w:hAnsi="Gill Sans MT" w:cstheme="minorHAnsi"/>
        </w:rPr>
        <w:t>. 2017. (</w:t>
      </w:r>
      <w:hyperlink r:id="rId17" w:history="1">
        <w:r w:rsidRPr="00D443CB">
          <w:rPr>
            <w:rStyle w:val="Hyperlink"/>
            <w:rFonts w:ascii="Gill Sans MT" w:hAnsi="Gill Sans MT" w:cstheme="minorHAnsi"/>
          </w:rPr>
          <w:t>http://stoptb.org/wg/gli/assets/documents/GLI_algorithms.pdf</w:t>
        </w:r>
      </w:hyperlink>
      <w:r w:rsidRPr="00D443CB">
        <w:rPr>
          <w:rFonts w:ascii="Gill Sans MT" w:hAnsi="Gill Sans MT" w:cstheme="minorHAnsi"/>
        </w:rPr>
        <w:t>) This handbook provides model algorithms that graphically depict the most up-to-date WHO recommendations on use of TB diagnostics and provides guidance on the interpretation of test results and follow-up testing.</w:t>
      </w:r>
    </w:p>
    <w:p w14:paraId="174D4D99" w14:textId="014E4530"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GLI Quick Guide to TB Diagnostics Connectivity Solutions</w:t>
      </w:r>
      <w:r w:rsidRPr="00D443CB">
        <w:rPr>
          <w:rFonts w:ascii="Gill Sans MT" w:hAnsi="Gill Sans MT" w:cstheme="minorHAnsi"/>
        </w:rPr>
        <w:t>. 2016</w:t>
      </w:r>
      <w:r w:rsidR="00747937" w:rsidRPr="00D443CB">
        <w:rPr>
          <w:rFonts w:ascii="Gill Sans MT" w:hAnsi="Gill Sans MT" w:cstheme="minorHAnsi"/>
        </w:rPr>
        <w:t>.</w:t>
      </w:r>
      <w:r w:rsidRPr="00D443CB">
        <w:rPr>
          <w:rFonts w:ascii="Gill Sans MT" w:hAnsi="Gill Sans MT" w:cstheme="minorHAnsi"/>
        </w:rPr>
        <w:t xml:space="preserve"> (http://www.stoptb.org/wg/gli/gat.asp) This </w:t>
      </w:r>
      <w:r w:rsidR="00747937" w:rsidRPr="00D443CB">
        <w:rPr>
          <w:rFonts w:ascii="Gill Sans MT" w:hAnsi="Gill Sans MT" w:cstheme="minorHAnsi"/>
        </w:rPr>
        <w:t>guide</w:t>
      </w:r>
      <w:r w:rsidRPr="00D443CB">
        <w:rPr>
          <w:rFonts w:ascii="Gill Sans MT" w:hAnsi="Gill Sans MT" w:cstheme="minorHAnsi"/>
        </w:rPr>
        <w:t xml:space="preserve"> provides an overview of diagnostics connectivity solutions, and what is required to establish one and use it effectively. It also contains a link to an online table comparing the functionalities of currently available software (</w:t>
      </w:r>
      <w:hyperlink r:id="rId18" w:history="1">
        <w:r w:rsidRPr="00D443CB">
          <w:rPr>
            <w:rStyle w:val="Hyperlink"/>
            <w:rFonts w:ascii="Gill Sans MT" w:hAnsi="Gill Sans MT" w:cstheme="minorHAnsi"/>
          </w:rPr>
          <w:t>http://tinyurl.com/gliconnectivity</w:t>
        </w:r>
      </w:hyperlink>
      <w:r w:rsidRPr="00D443CB">
        <w:rPr>
          <w:rFonts w:ascii="Gill Sans MT" w:hAnsi="Gill Sans MT" w:cstheme="minorHAnsi"/>
        </w:rPr>
        <w:t>).</w:t>
      </w:r>
    </w:p>
    <w:p w14:paraId="131D4FDB" w14:textId="784D1D09"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GLI Practical Guide to TB Laboratory Strengthening</w:t>
      </w:r>
      <w:r w:rsidRPr="00D443CB">
        <w:rPr>
          <w:rFonts w:ascii="Gill Sans MT" w:hAnsi="Gill Sans MT" w:cstheme="minorHAnsi"/>
        </w:rPr>
        <w:t>. 2017</w:t>
      </w:r>
      <w:r w:rsidR="00E63461" w:rsidRPr="00D443CB">
        <w:rPr>
          <w:rFonts w:ascii="Gill Sans MT" w:hAnsi="Gill Sans MT" w:cstheme="minorHAnsi"/>
        </w:rPr>
        <w:t>.</w:t>
      </w:r>
      <w:r w:rsidRPr="00D443CB">
        <w:rPr>
          <w:rFonts w:ascii="Gill Sans MT" w:hAnsi="Gill Sans MT" w:cstheme="minorHAnsi"/>
        </w:rPr>
        <w:t xml:space="preserve"> (</w:t>
      </w:r>
      <w:hyperlink r:id="rId19" w:history="1">
        <w:r w:rsidRPr="00D443CB">
          <w:rPr>
            <w:rStyle w:val="Hyperlink"/>
            <w:rFonts w:ascii="Gill Sans MT" w:hAnsi="Gill Sans MT" w:cstheme="minorHAnsi"/>
          </w:rPr>
          <w:t>http://stoptb.org/wg/gli/gat.asp</w:t>
        </w:r>
      </w:hyperlink>
      <w:r w:rsidRPr="00D443CB">
        <w:rPr>
          <w:rFonts w:ascii="Gill Sans MT" w:hAnsi="Gill Sans MT" w:cstheme="minorHAnsi"/>
          <w:u w:val="single"/>
        </w:rPr>
        <w:t xml:space="preserve">) </w:t>
      </w:r>
      <w:r w:rsidRPr="00D443CB">
        <w:rPr>
          <w:rFonts w:ascii="Gill Sans MT" w:hAnsi="Gill Sans MT" w:cstheme="minorHAnsi"/>
        </w:rPr>
        <w:t>This guide provides practical guidance on implementation of WHO recommendations and international best practices for TB laboratory strengthening.</w:t>
      </w:r>
    </w:p>
    <w:p w14:paraId="5291A41B" w14:textId="1729A627"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bCs/>
        </w:rPr>
        <w:t>GLI Guide to TB Specimen Referral Systems and Integrated Networks</w:t>
      </w:r>
      <w:r w:rsidRPr="00D443CB">
        <w:rPr>
          <w:rFonts w:ascii="Gill Sans MT" w:hAnsi="Gill Sans MT" w:cstheme="minorHAnsi"/>
          <w:bCs/>
        </w:rPr>
        <w:t xml:space="preserve">. </w:t>
      </w:r>
      <w:r w:rsidR="007622C9" w:rsidRPr="00D443CB">
        <w:rPr>
          <w:rFonts w:ascii="Gill Sans MT" w:hAnsi="Gill Sans MT" w:cstheme="minorHAnsi"/>
          <w:bCs/>
        </w:rPr>
        <w:t>2017. (</w:t>
      </w:r>
      <w:hyperlink r:id="rId20" w:history="1">
        <w:r w:rsidRPr="00D443CB">
          <w:rPr>
            <w:rStyle w:val="Hyperlink"/>
            <w:rFonts w:ascii="Gill Sans MT" w:hAnsi="Gill Sans MT" w:cstheme="minorHAnsi"/>
            <w:bCs/>
          </w:rPr>
          <w:t>http://www.stoptb.org/wg/gli/gat.asp</w:t>
        </w:r>
      </w:hyperlink>
      <w:r w:rsidRPr="00D443CB">
        <w:rPr>
          <w:rFonts w:ascii="Gill Sans MT" w:hAnsi="Gill Sans MT" w:cstheme="minorHAnsi"/>
        </w:rPr>
        <w:t xml:space="preserve">) This guide describes the various phases to create and strengthen specimen referral systems, essential components involved in referral, as well as other considerations for TB </w:t>
      </w:r>
      <w:r w:rsidR="007622C9" w:rsidRPr="00D443CB">
        <w:rPr>
          <w:rFonts w:ascii="Gill Sans MT" w:hAnsi="Gill Sans MT" w:cstheme="minorHAnsi"/>
        </w:rPr>
        <w:t>program</w:t>
      </w:r>
      <w:r w:rsidRPr="00D443CB">
        <w:rPr>
          <w:rFonts w:ascii="Gill Sans MT" w:hAnsi="Gill Sans MT" w:cstheme="minorHAnsi"/>
        </w:rPr>
        <w:t xml:space="preserve"> and laboratory managers, Ministry of Health officials, and other stakeholders across disease </w:t>
      </w:r>
      <w:r w:rsidR="007622C9" w:rsidRPr="00D443CB">
        <w:rPr>
          <w:rFonts w:ascii="Gill Sans MT" w:hAnsi="Gill Sans MT" w:cstheme="minorHAnsi"/>
        </w:rPr>
        <w:t>program</w:t>
      </w:r>
      <w:r w:rsidRPr="00D443CB">
        <w:rPr>
          <w:rFonts w:ascii="Gill Sans MT" w:hAnsi="Gill Sans MT" w:cstheme="minorHAnsi"/>
        </w:rPr>
        <w:t>s.</w:t>
      </w:r>
    </w:p>
    <w:p w14:paraId="287289F4" w14:textId="711A8AFF"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Laboratory Diagnosis of Tuberculosis by Sputum Microscopy- The GLI Handbook</w:t>
      </w:r>
      <w:r w:rsidRPr="00D443CB">
        <w:rPr>
          <w:rFonts w:ascii="Gill Sans MT" w:hAnsi="Gill Sans MT" w:cstheme="minorHAnsi"/>
        </w:rPr>
        <w:t>. 2013</w:t>
      </w:r>
      <w:r w:rsidR="00747937" w:rsidRPr="00D443CB">
        <w:rPr>
          <w:rFonts w:ascii="Gill Sans MT" w:hAnsi="Gill Sans MT" w:cstheme="minorHAnsi"/>
        </w:rPr>
        <w:t>.</w:t>
      </w:r>
      <w:r w:rsidRPr="00D443CB">
        <w:rPr>
          <w:rFonts w:ascii="Gill Sans MT" w:hAnsi="Gill Sans MT" w:cstheme="minorHAnsi"/>
        </w:rPr>
        <w:t xml:space="preserve"> (</w:t>
      </w:r>
      <w:hyperlink r:id="rId21" w:history="1">
        <w:r w:rsidRPr="00D443CB">
          <w:rPr>
            <w:rStyle w:val="Hyperlink"/>
            <w:rFonts w:ascii="Gill Sans MT" w:hAnsi="Gill Sans MT" w:cstheme="minorHAnsi"/>
            <w:bCs/>
          </w:rPr>
          <w:t>http://www.stoptb.org/wg/gli/gat.asp</w:t>
        </w:r>
      </w:hyperlink>
      <w:r w:rsidRPr="00D443CB">
        <w:rPr>
          <w:rFonts w:ascii="Gill Sans MT" w:hAnsi="Gill Sans MT" w:cstheme="minorHAnsi"/>
        </w:rPr>
        <w:t xml:space="preserve">) The handbook contains useful guidance on collecting sputum samples </w:t>
      </w:r>
      <w:r w:rsidR="000B1D87" w:rsidRPr="00D443CB">
        <w:rPr>
          <w:rFonts w:ascii="Gill Sans MT" w:hAnsi="Gill Sans MT" w:cstheme="minorHAnsi"/>
        </w:rPr>
        <w:t xml:space="preserve">and conducting AFB-smear microscopy </w:t>
      </w:r>
      <w:r w:rsidRPr="00D443CB">
        <w:rPr>
          <w:rFonts w:ascii="Gill Sans MT" w:hAnsi="Gill Sans MT" w:cstheme="minorHAnsi"/>
        </w:rPr>
        <w:t>for the diagnosis of TB.</w:t>
      </w:r>
    </w:p>
    <w:p w14:paraId="29C378D6" w14:textId="1C072495"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WHO Definitions and Reporting Framework for Tuberculosis – 2013 revision</w:t>
      </w:r>
      <w:r w:rsidR="00747937" w:rsidRPr="00D443CB">
        <w:rPr>
          <w:rFonts w:ascii="Gill Sans MT" w:hAnsi="Gill Sans MT" w:cstheme="minorHAnsi"/>
          <w:b/>
        </w:rPr>
        <w:t>.</w:t>
      </w:r>
      <w:r w:rsidR="00747937" w:rsidRPr="00D443CB">
        <w:rPr>
          <w:rFonts w:ascii="Gill Sans MT" w:hAnsi="Gill Sans MT" w:cstheme="minorHAnsi"/>
        </w:rPr>
        <w:t xml:space="preserve"> 2013.</w:t>
      </w:r>
      <w:r w:rsidR="00693A52" w:rsidRPr="00D443CB">
        <w:rPr>
          <w:rFonts w:ascii="Gill Sans MT" w:hAnsi="Gill Sans MT" w:cstheme="minorHAnsi"/>
        </w:rPr>
        <w:t xml:space="preserve"> </w:t>
      </w:r>
      <w:hyperlink r:id="rId22" w:history="1">
        <w:r w:rsidRPr="00D443CB">
          <w:rPr>
            <w:rStyle w:val="Hyperlink"/>
            <w:rFonts w:ascii="Gill Sans MT" w:hAnsi="Gill Sans MT" w:cstheme="minorHAnsi"/>
          </w:rPr>
          <w:t>(http://apps.who.int/iris/bitstream/10665/79199/1/9789241505345_eng.pdf?ua=1)</w:t>
        </w:r>
      </w:hyperlink>
      <w:r w:rsidR="00693A52" w:rsidRPr="00D443CB">
        <w:rPr>
          <w:rStyle w:val="Hyperlink"/>
          <w:rFonts w:ascii="Gill Sans MT" w:hAnsi="Gill Sans MT" w:cstheme="minorHAnsi"/>
        </w:rPr>
        <w:t xml:space="preserve"> </w:t>
      </w:r>
      <w:r w:rsidRPr="00D443CB">
        <w:rPr>
          <w:rFonts w:ascii="Gill Sans MT" w:hAnsi="Gill Sans MT" w:cstheme="minorHAnsi"/>
        </w:rPr>
        <w:t>This document revises previous WHO standard case definitions for TB and drug-resistant TB, the categories used to assign outcomes, and the standard reporting framework for TB.</w:t>
      </w:r>
    </w:p>
    <w:p w14:paraId="47C0D8CB" w14:textId="028CDEDD"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WHO Framework of indicators and targets for laboratory strengthening under the End TB Strategy</w:t>
      </w:r>
      <w:r w:rsidRPr="00D443CB">
        <w:rPr>
          <w:rFonts w:ascii="Gill Sans MT" w:hAnsi="Gill Sans MT" w:cstheme="minorHAnsi"/>
        </w:rPr>
        <w:t>. 2016. (</w:t>
      </w:r>
      <w:hyperlink r:id="rId23" w:history="1">
        <w:r w:rsidRPr="00D443CB">
          <w:rPr>
            <w:rStyle w:val="Hyperlink"/>
            <w:rFonts w:ascii="Gill Sans MT" w:hAnsi="Gill Sans MT" w:cstheme="minorHAnsi"/>
          </w:rPr>
          <w:t>http://www.who.int/tb/publications/labindicators/en/</w:t>
        </w:r>
      </w:hyperlink>
      <w:r w:rsidRPr="00D443CB">
        <w:rPr>
          <w:rFonts w:ascii="Gill Sans MT" w:hAnsi="Gill Sans MT" w:cstheme="minorHAnsi"/>
        </w:rPr>
        <w:t xml:space="preserve">) This Framework, developed </w:t>
      </w:r>
      <w:r w:rsidR="00693A52" w:rsidRPr="00D443CB">
        <w:rPr>
          <w:rFonts w:ascii="Gill Sans MT" w:hAnsi="Gill Sans MT" w:cstheme="minorHAnsi"/>
        </w:rPr>
        <w:t xml:space="preserve">by </w:t>
      </w:r>
      <w:r w:rsidRPr="00D443CB">
        <w:rPr>
          <w:rFonts w:ascii="Gill Sans MT" w:hAnsi="Gill Sans MT" w:cstheme="minorHAnsi"/>
        </w:rPr>
        <w:t xml:space="preserve">the WHO Global TB Programme and the GLI core group, </w:t>
      </w:r>
      <w:r w:rsidR="00693A52" w:rsidRPr="00D443CB">
        <w:rPr>
          <w:rFonts w:ascii="Gill Sans MT" w:hAnsi="Gill Sans MT" w:cstheme="minorHAnsi"/>
        </w:rPr>
        <w:t>describes</w:t>
      </w:r>
      <w:r w:rsidRPr="00D443CB">
        <w:rPr>
          <w:rFonts w:ascii="Gill Sans MT" w:hAnsi="Gill Sans MT" w:cstheme="minorHAnsi"/>
        </w:rPr>
        <w:t xml:space="preserve"> 12 core indicators that measure countries’ capacity to detect TB accurately and rapidly using new diagnostics, provide universal DST, and ensure the quality of testing. </w:t>
      </w:r>
    </w:p>
    <w:p w14:paraId="4203EBCC" w14:textId="2EA21998" w:rsidR="00E224F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WHO Tuberculosis Laboratory Biosafety Manual.</w:t>
      </w:r>
      <w:r w:rsidRPr="00D443CB">
        <w:rPr>
          <w:rFonts w:ascii="Gill Sans MT" w:hAnsi="Gill Sans MT" w:cstheme="minorHAnsi"/>
        </w:rPr>
        <w:t xml:space="preserve"> 2012</w:t>
      </w:r>
      <w:r w:rsidR="00747937" w:rsidRPr="00D443CB">
        <w:rPr>
          <w:rFonts w:ascii="Gill Sans MT" w:hAnsi="Gill Sans MT" w:cstheme="minorHAnsi"/>
        </w:rPr>
        <w:t>.</w:t>
      </w:r>
      <w:r w:rsidRPr="00D443CB">
        <w:rPr>
          <w:rFonts w:ascii="Gill Sans MT" w:hAnsi="Gill Sans MT" w:cstheme="minorHAnsi"/>
        </w:rPr>
        <w:t xml:space="preserve"> </w:t>
      </w:r>
      <w:hyperlink r:id="rId24" w:history="1">
        <w:r w:rsidRPr="00D443CB">
          <w:rPr>
            <w:rStyle w:val="Hyperlink"/>
            <w:rFonts w:ascii="Gill Sans MT" w:hAnsi="Gill Sans MT" w:cstheme="minorHAnsi"/>
          </w:rPr>
          <w:t>(http://www.who.int/tb/publications/2012/tb_biosafety/en/)</w:t>
        </w:r>
      </w:hyperlink>
      <w:r w:rsidRPr="00D443CB">
        <w:rPr>
          <w:rFonts w:ascii="Gill Sans MT" w:hAnsi="Gill Sans MT" w:cstheme="minorHAnsi"/>
          <w:u w:val="single"/>
        </w:rPr>
        <w:t xml:space="preserve"> </w:t>
      </w:r>
      <w:r w:rsidRPr="00D443CB">
        <w:rPr>
          <w:rFonts w:ascii="Gill Sans MT" w:hAnsi="Gill Sans MT" w:cstheme="minorHAnsi"/>
        </w:rPr>
        <w:t>This manual describes the minimum biosafety measures that should be implemented at the different levels of TB testing laboratories to reduce the risk of a testing site-acquired infection.</w:t>
      </w:r>
    </w:p>
    <w:p w14:paraId="69D47C34" w14:textId="1BBC9F6F" w:rsidR="00FF1935" w:rsidRPr="00D443CB" w:rsidRDefault="00E224F5"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GLI’s TB Micro</w:t>
      </w:r>
      <w:r w:rsidR="00747937" w:rsidRPr="00D443CB">
        <w:rPr>
          <w:rFonts w:ascii="Gill Sans MT" w:hAnsi="Gill Sans MT" w:cstheme="minorHAnsi"/>
          <w:b/>
        </w:rPr>
        <w:t>scopy Network Accreditation – An assessment tool</w:t>
      </w:r>
      <w:r w:rsidRPr="00D443CB">
        <w:rPr>
          <w:rFonts w:ascii="Gill Sans MT" w:hAnsi="Gill Sans MT" w:cstheme="minorHAnsi"/>
          <w:b/>
        </w:rPr>
        <w:t>.</w:t>
      </w:r>
      <w:r w:rsidRPr="00D443CB">
        <w:rPr>
          <w:rFonts w:ascii="Gill Sans MT" w:hAnsi="Gill Sans MT" w:cstheme="minorHAnsi"/>
        </w:rPr>
        <w:t xml:space="preserve"> </w:t>
      </w:r>
      <w:r w:rsidR="00747937" w:rsidRPr="00D443CB">
        <w:rPr>
          <w:rFonts w:ascii="Gill Sans MT" w:hAnsi="Gill Sans MT" w:cstheme="minorHAnsi"/>
        </w:rPr>
        <w:t>2013.</w:t>
      </w:r>
      <w:r w:rsidRPr="00D443CB">
        <w:rPr>
          <w:rFonts w:ascii="Gill Sans MT" w:hAnsi="Gill Sans MT" w:cstheme="minorHAnsi"/>
        </w:rPr>
        <w:t xml:space="preserve">  </w:t>
      </w:r>
      <w:r w:rsidR="00747937" w:rsidRPr="00D443CB">
        <w:rPr>
          <w:rFonts w:ascii="Gill Sans MT" w:hAnsi="Gill Sans MT" w:cstheme="minorHAnsi"/>
        </w:rPr>
        <w:t>(</w:t>
      </w:r>
      <w:hyperlink r:id="rId25" w:history="1">
        <w:r w:rsidRPr="00D443CB">
          <w:rPr>
            <w:rStyle w:val="Hyperlink"/>
            <w:rFonts w:ascii="Gill Sans MT" w:hAnsi="Gill Sans MT" w:cstheme="minorHAnsi"/>
          </w:rPr>
          <w:t>http://www.stoptb.org/wg/gli/assets/documents/TBMicroscopy_Network_Accreditation_Web.pdf</w:t>
        </w:r>
      </w:hyperlink>
      <w:r w:rsidR="00747937" w:rsidRPr="00D443CB">
        <w:rPr>
          <w:rFonts w:ascii="Gill Sans MT" w:hAnsi="Gill Sans MT" w:cstheme="minorHAnsi"/>
        </w:rPr>
        <w:t>) This manual describes standards and procedures for evaluating a TB microscopy network</w:t>
      </w:r>
      <w:r w:rsidRPr="00D443CB">
        <w:rPr>
          <w:rFonts w:ascii="Gill Sans MT" w:hAnsi="Gill Sans MT" w:cstheme="minorHAnsi"/>
        </w:rPr>
        <w:t xml:space="preserve"> </w:t>
      </w:r>
      <w:r w:rsidR="00747937" w:rsidRPr="00D443CB">
        <w:rPr>
          <w:rFonts w:ascii="Gill Sans MT" w:hAnsi="Gill Sans MT" w:cstheme="minorHAnsi"/>
        </w:rPr>
        <w:t>and served as one of the foundation documents for the TB Diagnostic Network Assessment Tool.</w:t>
      </w:r>
    </w:p>
    <w:p w14:paraId="7FF3B518" w14:textId="63B2809D" w:rsidR="0058794C" w:rsidRPr="00D443CB" w:rsidRDefault="0058794C" w:rsidP="00693A52">
      <w:pPr>
        <w:widowControl w:val="0"/>
        <w:autoSpaceDE w:val="0"/>
        <w:autoSpaceDN w:val="0"/>
        <w:adjustRightInd w:val="0"/>
        <w:spacing w:after="120" w:line="240" w:lineRule="auto"/>
        <w:rPr>
          <w:rFonts w:ascii="Gill Sans MT" w:hAnsi="Gill Sans MT" w:cstheme="minorHAnsi"/>
        </w:rPr>
      </w:pPr>
      <w:r w:rsidRPr="00D443CB">
        <w:rPr>
          <w:rFonts w:ascii="Gill Sans MT" w:hAnsi="Gill Sans MT" w:cstheme="minorHAnsi"/>
          <w:b/>
        </w:rPr>
        <w:t xml:space="preserve">Ondoa, P. </w:t>
      </w:r>
      <w:r w:rsidRPr="00D443CB">
        <w:rPr>
          <w:rFonts w:ascii="Gill Sans MT" w:hAnsi="Gill Sans MT" w:cstheme="minorHAnsi"/>
          <w:b/>
          <w:i/>
        </w:rPr>
        <w:t>et al</w:t>
      </w:r>
      <w:r w:rsidRPr="00D443CB">
        <w:rPr>
          <w:rFonts w:ascii="Gill Sans MT" w:hAnsi="Gill Sans MT" w:cstheme="minorHAnsi"/>
          <w:i/>
        </w:rPr>
        <w:t>.</w:t>
      </w:r>
      <w:r w:rsidRPr="00D443CB">
        <w:rPr>
          <w:rFonts w:ascii="Gill Sans MT" w:hAnsi="Gill Sans MT" w:cstheme="minorHAnsi"/>
        </w:rPr>
        <w:t xml:space="preserve"> A new matrix for scoring the functionality of national laboratory networks in Africa: introducing the LABNET scorecard. </w:t>
      </w:r>
      <w:r w:rsidR="00747937" w:rsidRPr="00D443CB">
        <w:rPr>
          <w:rFonts w:ascii="Gill Sans MT" w:hAnsi="Gill Sans MT" w:cstheme="minorHAnsi"/>
        </w:rPr>
        <w:t xml:space="preserve">2016. </w:t>
      </w:r>
      <w:r w:rsidRPr="00D443CB">
        <w:rPr>
          <w:rFonts w:ascii="Gill Sans MT" w:hAnsi="Gill Sans MT" w:cstheme="minorHAnsi"/>
          <w:bCs/>
        </w:rPr>
        <w:t>African Journal of Laboratory Medicine</w:t>
      </w:r>
      <w:r w:rsidRPr="00D443CB">
        <w:rPr>
          <w:rFonts w:ascii="Gill Sans MT" w:hAnsi="Gill Sans MT" w:cstheme="minorHAnsi"/>
        </w:rPr>
        <w:t xml:space="preserve">, 5. </w:t>
      </w:r>
      <w:r w:rsidR="00B357DA" w:rsidRPr="00D443CB">
        <w:rPr>
          <w:rFonts w:ascii="Gill Sans MT" w:hAnsi="Gill Sans MT" w:cstheme="minorHAnsi"/>
        </w:rPr>
        <w:t xml:space="preserve">a498. </w:t>
      </w:r>
      <w:hyperlink r:id="rId26" w:history="1">
        <w:r w:rsidR="00B357DA" w:rsidRPr="00D443CB">
          <w:rPr>
            <w:rStyle w:val="Hyperlink"/>
            <w:rFonts w:ascii="Gill Sans MT" w:hAnsi="Gill Sans MT" w:cstheme="minorHAnsi"/>
          </w:rPr>
          <w:t>http://dx.doi.org/10.4102/ajlm.v5i3.498</w:t>
        </w:r>
      </w:hyperlink>
      <w:r w:rsidR="00B357DA" w:rsidRPr="00D443CB">
        <w:rPr>
          <w:rFonts w:ascii="Gill Sans MT" w:hAnsi="Gill Sans MT" w:cstheme="minorHAnsi"/>
        </w:rPr>
        <w:t xml:space="preserve"> </w:t>
      </w:r>
    </w:p>
    <w:p w14:paraId="726E3C63" w14:textId="77777777" w:rsidR="009A36D7" w:rsidRPr="00D443CB" w:rsidRDefault="009A36D7" w:rsidP="003F0903">
      <w:pPr>
        <w:widowControl w:val="0"/>
        <w:autoSpaceDE w:val="0"/>
        <w:autoSpaceDN w:val="0"/>
        <w:adjustRightInd w:val="0"/>
        <w:spacing w:after="0" w:line="240" w:lineRule="auto"/>
        <w:rPr>
          <w:rFonts w:ascii="Gill Sans MT" w:hAnsi="Gill Sans MT" w:cstheme="minorHAnsi"/>
        </w:rPr>
      </w:pPr>
    </w:p>
    <w:p w14:paraId="5E0012E9" w14:textId="77777777" w:rsidR="000B1D87" w:rsidRPr="00D443CB" w:rsidRDefault="000B1D87" w:rsidP="003F0903">
      <w:pPr>
        <w:widowControl w:val="0"/>
        <w:autoSpaceDE w:val="0"/>
        <w:autoSpaceDN w:val="0"/>
        <w:adjustRightInd w:val="0"/>
        <w:spacing w:after="0" w:line="240" w:lineRule="auto"/>
        <w:rPr>
          <w:rFonts w:ascii="Gill Sans MT" w:hAnsi="Gill Sans MT" w:cstheme="minorHAnsi"/>
        </w:rPr>
      </w:pPr>
    </w:p>
    <w:p w14:paraId="20F0C622" w14:textId="7D0170FF" w:rsidR="00E1274F" w:rsidRPr="00D443CB" w:rsidRDefault="00E1274F" w:rsidP="003F0903">
      <w:pPr>
        <w:spacing w:after="0" w:line="240" w:lineRule="auto"/>
        <w:rPr>
          <w:rFonts w:ascii="Gill Sans MT" w:hAnsi="Gill Sans MT" w:cs="Calibri"/>
        </w:rPr>
      </w:pPr>
    </w:p>
    <w:sectPr w:rsidR="00E1274F" w:rsidRPr="00D443CB" w:rsidSect="0037539D">
      <w:headerReference w:type="first" r:id="rId27"/>
      <w:footerReference w:type="first" r:id="rId28"/>
      <w:pgSz w:w="12240" w:h="158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67294" w14:textId="77777777" w:rsidR="00971B13" w:rsidRDefault="00971B13" w:rsidP="003B2D1C">
      <w:pPr>
        <w:spacing w:after="0" w:line="240" w:lineRule="auto"/>
      </w:pPr>
      <w:r>
        <w:separator/>
      </w:r>
    </w:p>
  </w:endnote>
  <w:endnote w:type="continuationSeparator" w:id="0">
    <w:p w14:paraId="2B186491" w14:textId="77777777" w:rsidR="00971B13" w:rsidRDefault="00971B13" w:rsidP="003B2D1C">
      <w:pPr>
        <w:spacing w:after="0" w:line="240" w:lineRule="auto"/>
      </w:pPr>
      <w:r>
        <w:continuationSeparator/>
      </w:r>
    </w:p>
  </w:endnote>
  <w:endnote w:type="continuationNotice" w:id="1">
    <w:p w14:paraId="07F9F74D" w14:textId="77777777" w:rsidR="00971B13" w:rsidRDefault="00971B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GillSans">
    <w:altName w:val="Times New Roman"/>
    <w:charset w:val="00"/>
    <w:family w:val="auto"/>
    <w:pitch w:val="variable"/>
    <w:sig w:usb0="00000000" w:usb1="00000000" w:usb2="00000000" w:usb3="00000000" w:csb0="000001F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3481B" w14:textId="77777777" w:rsidR="00CE2E64" w:rsidRDefault="00CE2E64" w:rsidP="005D59C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03C17D" w14:textId="77777777" w:rsidR="00CE2E64" w:rsidRDefault="00CE2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20BD9" w14:textId="72125427" w:rsidR="00CE2E64" w:rsidRDefault="00CE2E64" w:rsidP="005D59C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449D">
      <w:rPr>
        <w:rStyle w:val="PageNumber"/>
        <w:noProof/>
      </w:rPr>
      <w:t>2</w:t>
    </w:r>
    <w:r>
      <w:rPr>
        <w:rStyle w:val="PageNumber"/>
      </w:rPr>
      <w:fldChar w:fldCharType="end"/>
    </w:r>
  </w:p>
  <w:p w14:paraId="0B71743C" w14:textId="77777777" w:rsidR="00CE2E64" w:rsidRDefault="00CE2E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00CE2E64" w14:paraId="4EA30F79" w14:textId="77777777" w:rsidTr="78009272">
      <w:tc>
        <w:tcPr>
          <w:tcW w:w="3360" w:type="dxa"/>
        </w:tcPr>
        <w:p w14:paraId="60EABE70" w14:textId="458D6DD7" w:rsidR="00CE2E64" w:rsidRDefault="00CE2E64" w:rsidP="00AD54A8">
          <w:pPr>
            <w:pStyle w:val="Header"/>
            <w:ind w:left="-115"/>
          </w:pPr>
        </w:p>
      </w:tc>
      <w:tc>
        <w:tcPr>
          <w:tcW w:w="3360" w:type="dxa"/>
        </w:tcPr>
        <w:p w14:paraId="5D83B455" w14:textId="43FAAED9" w:rsidR="00CE2E64" w:rsidRDefault="00CE2E64" w:rsidP="00AD54A8">
          <w:pPr>
            <w:pStyle w:val="Header"/>
            <w:jc w:val="center"/>
          </w:pPr>
        </w:p>
      </w:tc>
      <w:tc>
        <w:tcPr>
          <w:tcW w:w="3360" w:type="dxa"/>
        </w:tcPr>
        <w:p w14:paraId="62287B4F" w14:textId="6369830E" w:rsidR="00CE2E64" w:rsidRDefault="00CE2E64" w:rsidP="00AD54A8">
          <w:pPr>
            <w:pStyle w:val="Header"/>
            <w:ind w:right="-115"/>
            <w:jc w:val="right"/>
          </w:pPr>
        </w:p>
      </w:tc>
    </w:tr>
  </w:tbl>
  <w:p w14:paraId="54DEDE92" w14:textId="3EE7C429" w:rsidR="00CE2E64" w:rsidRDefault="00CE2E64" w:rsidP="00AD54A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CE2E64" w14:paraId="6912363B" w14:textId="77777777" w:rsidTr="78009272">
      <w:tc>
        <w:tcPr>
          <w:tcW w:w="3600" w:type="dxa"/>
        </w:tcPr>
        <w:p w14:paraId="7C2E28E5" w14:textId="66258AE6" w:rsidR="00CE2E64" w:rsidRDefault="00CE2E64" w:rsidP="00FF7E46">
          <w:pPr>
            <w:pStyle w:val="Header"/>
            <w:ind w:left="-115"/>
          </w:pPr>
        </w:p>
      </w:tc>
      <w:tc>
        <w:tcPr>
          <w:tcW w:w="3600" w:type="dxa"/>
        </w:tcPr>
        <w:p w14:paraId="647D4962" w14:textId="674B0760" w:rsidR="00CE2E64" w:rsidRDefault="00CE2E64" w:rsidP="00FF7E46">
          <w:pPr>
            <w:pStyle w:val="Header"/>
            <w:jc w:val="center"/>
          </w:pPr>
        </w:p>
      </w:tc>
      <w:tc>
        <w:tcPr>
          <w:tcW w:w="3600" w:type="dxa"/>
        </w:tcPr>
        <w:p w14:paraId="14E10D38" w14:textId="3ACC0283" w:rsidR="00CE2E64" w:rsidRDefault="00CE2E64" w:rsidP="00FF7E46">
          <w:pPr>
            <w:pStyle w:val="Header"/>
            <w:ind w:right="-115"/>
            <w:jc w:val="right"/>
          </w:pPr>
        </w:p>
      </w:tc>
    </w:tr>
  </w:tbl>
  <w:p w14:paraId="0001F63F" w14:textId="7D4E21D4" w:rsidR="00CE2E64" w:rsidRDefault="00CE2E64" w:rsidP="00FF7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746CB" w14:textId="77777777" w:rsidR="00971B13" w:rsidRDefault="00971B13" w:rsidP="003B2D1C">
      <w:pPr>
        <w:spacing w:after="0" w:line="240" w:lineRule="auto"/>
      </w:pPr>
      <w:r>
        <w:separator/>
      </w:r>
    </w:p>
  </w:footnote>
  <w:footnote w:type="continuationSeparator" w:id="0">
    <w:p w14:paraId="348912F7" w14:textId="77777777" w:rsidR="00971B13" w:rsidRDefault="00971B13" w:rsidP="003B2D1C">
      <w:pPr>
        <w:spacing w:after="0" w:line="240" w:lineRule="auto"/>
      </w:pPr>
      <w:r>
        <w:continuationSeparator/>
      </w:r>
    </w:p>
  </w:footnote>
  <w:footnote w:type="continuationNotice" w:id="1">
    <w:p w14:paraId="3E98F005" w14:textId="77777777" w:rsidR="00971B13" w:rsidRDefault="00971B13">
      <w:pPr>
        <w:spacing w:after="0" w:line="240" w:lineRule="auto"/>
      </w:pPr>
    </w:p>
  </w:footnote>
  <w:footnote w:id="2">
    <w:p w14:paraId="270F695C" w14:textId="77777777" w:rsidR="00CE2E64" w:rsidRDefault="00CE2E64" w:rsidP="00AF6C68">
      <w:pPr>
        <w:pStyle w:val="FootnoteText"/>
        <w:spacing w:after="0" w:line="240" w:lineRule="auto"/>
      </w:pPr>
      <w:r>
        <w:rPr>
          <w:rStyle w:val="FootnoteReference"/>
        </w:rPr>
        <w:footnoteRef/>
      </w:r>
      <w:r>
        <w:t xml:space="preserve"> </w:t>
      </w:r>
      <w:r w:rsidRPr="00BF7206">
        <w:rPr>
          <w:i/>
        </w:rPr>
        <w:t>The End TB Strategy – global strategy and targets for tuberculosis prevention, care and control after 2015.</w:t>
      </w:r>
      <w:r w:rsidRPr="00BF7206">
        <w:t xml:space="preserve"> </w:t>
      </w:r>
      <w:hyperlink r:id="rId1" w:history="1">
        <w:r w:rsidRPr="00BF7206">
          <w:rPr>
            <w:rStyle w:val="Hyperlink"/>
          </w:rPr>
          <w:t>http://www.who.int/tb/strategy/End_TB_Strategy.pdf</w:t>
        </w:r>
      </w:hyperlink>
    </w:p>
  </w:footnote>
  <w:footnote w:id="3">
    <w:p w14:paraId="405C6590" w14:textId="0426CF8C" w:rsidR="00CE2E64" w:rsidRDefault="00CE2E64" w:rsidP="00AF6C68">
      <w:pPr>
        <w:pStyle w:val="FootnoteText"/>
        <w:spacing w:after="0" w:line="240" w:lineRule="auto"/>
      </w:pPr>
      <w:r>
        <w:rPr>
          <w:rStyle w:val="FootnoteReference"/>
        </w:rPr>
        <w:footnoteRef/>
      </w:r>
      <w:r>
        <w:t xml:space="preserve"> </w:t>
      </w:r>
      <w:r w:rsidRPr="002103C0">
        <w:rPr>
          <w:i/>
        </w:rPr>
        <w:t>WHO Framework of indicators and targets for laboratory strengthening under the End TB Strategy</w:t>
      </w:r>
      <w:r>
        <w:t xml:space="preserve">. 2016. </w:t>
      </w:r>
      <w:hyperlink r:id="rId2" w:history="1">
        <w:r w:rsidRPr="002103C0">
          <w:rPr>
            <w:rStyle w:val="Hyperlink"/>
          </w:rPr>
          <w:t>http://www.who.int/tb/publications/labindicators/en/</w:t>
        </w:r>
      </w:hyperlink>
    </w:p>
  </w:footnote>
  <w:footnote w:id="4">
    <w:p w14:paraId="598B744B" w14:textId="77777777" w:rsidR="00CE2E64" w:rsidRPr="003A281D" w:rsidRDefault="00CE2E64" w:rsidP="00AF6C68">
      <w:pPr>
        <w:pStyle w:val="FootnoteText"/>
        <w:spacing w:after="0" w:line="240" w:lineRule="auto"/>
        <w:rPr>
          <w:lang w:val="fr-CH"/>
        </w:rPr>
      </w:pPr>
      <w:r>
        <w:rPr>
          <w:rStyle w:val="FootnoteReference"/>
        </w:rPr>
        <w:footnoteRef/>
      </w:r>
      <w:r>
        <w:t xml:space="preserve"> </w:t>
      </w:r>
      <w:r w:rsidRPr="0011200B">
        <w:t xml:space="preserve">Subbaraman R, Nathavitharana RR, Satyanarayana S, Pai M, Thomas BE, Chadha VK, et al. (2016) The Tuberculosis Cascade of Care in India’s Public Sector: A Systematic Review and Meta-analysis. </w:t>
      </w:r>
      <w:r w:rsidRPr="003A281D">
        <w:rPr>
          <w:lang w:val="fr-CH"/>
        </w:rPr>
        <w:t>PLoS Med 13(10): e1002149. https://doi.org/10.1371/journal.pmed.1002149</w:t>
      </w:r>
    </w:p>
  </w:footnote>
  <w:footnote w:id="5">
    <w:p w14:paraId="0568F01F" w14:textId="1A89EF58" w:rsidR="00CE2E64" w:rsidRDefault="00CE2E64" w:rsidP="00DB5DF5">
      <w:pPr>
        <w:pStyle w:val="FootnoteText"/>
        <w:spacing w:after="0" w:line="240" w:lineRule="auto"/>
      </w:pPr>
      <w:r>
        <w:rPr>
          <w:rStyle w:val="FootnoteReference"/>
        </w:rPr>
        <w:footnoteRef/>
      </w:r>
      <w:r>
        <w:t xml:space="preserve"> </w:t>
      </w:r>
      <w:r w:rsidRPr="00DB5DF5">
        <w:t xml:space="preserve">Naidoo et al. 2017. The South African Tuberculosis Care Cascade: Estimated Losses and Methodological Challenges. J Infect Dis 216 (suppl_7): S702–S713, </w:t>
      </w:r>
      <w:hyperlink r:id="rId3" w:history="1">
        <w:r w:rsidRPr="00E9065B">
          <w:rPr>
            <w:rStyle w:val="Hyperlink"/>
          </w:rPr>
          <w:t>https://doi.org/10.1093/infdis/jix335</w:t>
        </w:r>
      </w:hyperlink>
      <w:r>
        <w:t xml:space="preserve"> </w:t>
      </w:r>
    </w:p>
  </w:footnote>
  <w:footnote w:id="6">
    <w:p w14:paraId="6059EFFA" w14:textId="10B13A2B" w:rsidR="00CE2E64" w:rsidRPr="006F6089" w:rsidRDefault="00CE2E64" w:rsidP="006F6089">
      <w:pPr>
        <w:spacing w:after="0" w:line="240" w:lineRule="auto"/>
        <w:rPr>
          <w:rFonts w:asciiTheme="minorHAnsi" w:hAnsiTheme="minorHAnsi" w:cstheme="minorHAnsi"/>
          <w:sz w:val="20"/>
          <w:szCs w:val="20"/>
        </w:rPr>
      </w:pPr>
      <w:r>
        <w:rPr>
          <w:rStyle w:val="FootnoteReference"/>
        </w:rPr>
        <w:footnoteRef/>
      </w:r>
      <w:r>
        <w:t xml:space="preserve"> </w:t>
      </w:r>
      <w:r w:rsidRPr="006F6089">
        <w:rPr>
          <w:rFonts w:asciiTheme="minorHAnsi" w:hAnsiTheme="minorHAnsi" w:cstheme="minorHAnsi"/>
          <w:sz w:val="20"/>
          <w:szCs w:val="20"/>
        </w:rPr>
        <w:t xml:space="preserve">World Health Organization. Laboratory Assessment Tool. 2012. </w:t>
      </w:r>
      <w:r w:rsidRPr="006F6089">
        <w:rPr>
          <w:rFonts w:asciiTheme="minorHAnsi" w:hAnsiTheme="minorHAnsi" w:cstheme="minorHAnsi"/>
          <w:color w:val="333333"/>
          <w:sz w:val="20"/>
          <w:szCs w:val="20"/>
          <w:shd w:val="clear" w:color="auto" w:fill="FFFFFF"/>
        </w:rPr>
        <w:t xml:space="preserve">WHO/HSE/GCR/LYO/2012.2. </w:t>
      </w:r>
      <w:r w:rsidRPr="006F6089">
        <w:rPr>
          <w:rFonts w:asciiTheme="minorHAnsi" w:hAnsiTheme="minorHAnsi" w:cstheme="minorHAnsi"/>
          <w:sz w:val="20"/>
          <w:szCs w:val="20"/>
        </w:rPr>
        <w:t>http://www.who.int/ihr/publications/laboratory_tool/en/</w:t>
      </w:r>
    </w:p>
  </w:footnote>
  <w:footnote w:id="7">
    <w:p w14:paraId="27A381B0" w14:textId="55BE87BC" w:rsidR="00CE2E64" w:rsidRDefault="00CE2E64" w:rsidP="003C2D14">
      <w:pPr>
        <w:pStyle w:val="FootnoteText"/>
        <w:spacing w:after="0" w:line="240" w:lineRule="auto"/>
      </w:pPr>
      <w:r>
        <w:rPr>
          <w:rStyle w:val="FootnoteReference"/>
        </w:rPr>
        <w:footnoteRef/>
      </w:r>
      <w:r>
        <w:t xml:space="preserve"> Guidelines for the programmatic management of drug-resistant tuberculosis: 2011 and 2016 updates. Geneva, World Health Organization. 2011 (WHO/HTM/TB/2011.6) and 2016 (WHO/HTM/TB/2016.04)  http://www.who.int/tb/areas-of-work/drug-resistant-tb/treatment/resources/</w:t>
      </w:r>
    </w:p>
  </w:footnote>
  <w:footnote w:id="8">
    <w:p w14:paraId="489D6C94" w14:textId="77777777" w:rsidR="00CE2E64" w:rsidRDefault="00CE2E64" w:rsidP="00F73E39">
      <w:pPr>
        <w:pStyle w:val="FootnoteText"/>
        <w:spacing w:after="0" w:line="240" w:lineRule="auto"/>
      </w:pPr>
      <w:r>
        <w:rPr>
          <w:rStyle w:val="FootnoteReference"/>
        </w:rPr>
        <w:footnoteRef/>
      </w:r>
      <w:r>
        <w:t xml:space="preserve"> Albert, H. Essential standards for a TB diagnostic network. ASLM2016</w:t>
      </w:r>
    </w:p>
  </w:footnote>
  <w:footnote w:id="9">
    <w:p w14:paraId="5A5B4A32" w14:textId="77777777" w:rsidR="00CE2E64" w:rsidRDefault="00CE2E64" w:rsidP="00F73E39">
      <w:pPr>
        <w:pStyle w:val="FootnoteText"/>
        <w:spacing w:after="0" w:line="240" w:lineRule="auto"/>
      </w:pPr>
      <w:r>
        <w:rPr>
          <w:rStyle w:val="FootnoteReference"/>
        </w:rPr>
        <w:footnoteRef/>
      </w:r>
      <w:r>
        <w:t xml:space="preserve"> </w:t>
      </w:r>
      <w:r w:rsidRPr="00452A3A">
        <w:t>TB Microscopy Network Accreditation. An assessment tool. Global Laboratory Initiative. 2013</w:t>
      </w:r>
      <w:r>
        <w:t>.</w:t>
      </w:r>
      <w:r w:rsidRPr="00452A3A">
        <w:t xml:space="preserve"> </w:t>
      </w:r>
      <w:hyperlink r:id="rId4" w:history="1">
        <w:r w:rsidRPr="00335779">
          <w:rPr>
            <w:rStyle w:val="Hyperlink"/>
          </w:rPr>
          <w:t>http://www.stoptb.org/wg/gli/assets/documents/TBMicroscopy_Network_Accreditation_Web.pdf</w:t>
        </w:r>
      </w:hyperlink>
      <w:r>
        <w:t xml:space="preserve"> </w:t>
      </w:r>
    </w:p>
  </w:footnote>
  <w:footnote w:id="10">
    <w:p w14:paraId="73E08C81" w14:textId="77777777" w:rsidR="00CE2E64" w:rsidRPr="00901081" w:rsidRDefault="00CE2E64" w:rsidP="007766BE">
      <w:pPr>
        <w:pStyle w:val="FootnoteText"/>
        <w:spacing w:after="0" w:line="240" w:lineRule="auto"/>
      </w:pPr>
      <w:r w:rsidRPr="00901081">
        <w:rPr>
          <w:rStyle w:val="FootnoteReference"/>
        </w:rPr>
        <w:footnoteRef/>
      </w:r>
      <w:r w:rsidRPr="00901081">
        <w:t xml:space="preserve"> Ondoa, P. </w:t>
      </w:r>
      <w:r w:rsidRPr="00901081">
        <w:rPr>
          <w:i/>
        </w:rPr>
        <w:t>et al.</w:t>
      </w:r>
      <w:r w:rsidRPr="00901081">
        <w:t xml:space="preserve"> A new matrix for scoring the functionality of national laboratory networks in Africa: introducing the LABNET scorecard. </w:t>
      </w:r>
      <w:r w:rsidRPr="00901081">
        <w:rPr>
          <w:bCs/>
        </w:rPr>
        <w:t>African Journal of Laboratory Medicine</w:t>
      </w:r>
      <w:r w:rsidRPr="00901081">
        <w:t xml:space="preserve">, 5, Oct. 2016. </w:t>
      </w:r>
      <w:hyperlink r:id="rId5" w:tgtFrame="_new" w:history="1">
        <w:r w:rsidRPr="00901081">
          <w:rPr>
            <w:rStyle w:val="Hyperlink"/>
          </w:rPr>
          <w:t>http://www.ajlmonline.org/index.php/ajlm/article/view/498/712</w:t>
        </w:r>
      </w:hyperlink>
      <w:r w:rsidRPr="00901081">
        <w:t>. </w:t>
      </w:r>
    </w:p>
  </w:footnote>
  <w:footnote w:id="11">
    <w:p w14:paraId="7AF3F8E0" w14:textId="77777777" w:rsidR="00CE2E64" w:rsidRDefault="00CE2E64"/>
  </w:footnote>
  <w:footnote w:id="12">
    <w:p w14:paraId="7D71A018" w14:textId="77777777" w:rsidR="00CE2E64" w:rsidRPr="008418FF" w:rsidRDefault="00CE2E64" w:rsidP="008418FF">
      <w:pPr>
        <w:widowControl w:val="0"/>
        <w:autoSpaceDE w:val="0"/>
        <w:autoSpaceDN w:val="0"/>
        <w:adjustRightInd w:val="0"/>
        <w:spacing w:after="0" w:line="240" w:lineRule="auto"/>
        <w:ind w:right="547"/>
        <w:rPr>
          <w:sz w:val="20"/>
          <w:szCs w:val="20"/>
        </w:rPr>
      </w:pPr>
      <w:r w:rsidRPr="008418FF">
        <w:rPr>
          <w:rStyle w:val="FootnoteReference"/>
          <w:sz w:val="20"/>
          <w:szCs w:val="20"/>
        </w:rPr>
        <w:footnoteRef/>
      </w:r>
      <w:r w:rsidRPr="008418FF">
        <w:rPr>
          <w:sz w:val="20"/>
          <w:szCs w:val="20"/>
        </w:rPr>
        <w:t xml:space="preserve"> </w:t>
      </w:r>
      <w:r w:rsidRPr="008418FF">
        <w:rPr>
          <w:rFonts w:cs="Calibri"/>
          <w:iCs/>
          <w:sz w:val="20"/>
          <w:szCs w:val="20"/>
        </w:rPr>
        <w:t>W</w:t>
      </w:r>
      <w:r w:rsidRPr="008418FF">
        <w:rPr>
          <w:rFonts w:cs="Calibri"/>
          <w:iCs/>
          <w:spacing w:val="1"/>
          <w:sz w:val="20"/>
          <w:szCs w:val="20"/>
        </w:rPr>
        <w:t>a</w:t>
      </w:r>
      <w:r w:rsidRPr="008418FF">
        <w:rPr>
          <w:rFonts w:cs="Calibri"/>
          <w:iCs/>
          <w:sz w:val="20"/>
          <w:szCs w:val="20"/>
        </w:rPr>
        <w:t>tts</w:t>
      </w:r>
      <w:r w:rsidRPr="008418FF">
        <w:rPr>
          <w:rFonts w:cs="Calibri"/>
          <w:sz w:val="20"/>
          <w:szCs w:val="20"/>
        </w:rPr>
        <w:t xml:space="preserve"> </w:t>
      </w:r>
      <w:r w:rsidRPr="008418FF">
        <w:rPr>
          <w:rFonts w:cs="Calibri"/>
          <w:iCs/>
          <w:spacing w:val="-1"/>
          <w:sz w:val="20"/>
          <w:szCs w:val="20"/>
        </w:rPr>
        <w:t>H</w:t>
      </w:r>
      <w:r w:rsidRPr="008418FF">
        <w:rPr>
          <w:rFonts w:cs="Calibri"/>
          <w:iCs/>
          <w:sz w:val="20"/>
          <w:szCs w:val="20"/>
        </w:rPr>
        <w:t>umphrey.</w:t>
      </w:r>
      <w:r w:rsidRPr="008418FF">
        <w:rPr>
          <w:rFonts w:cs="Calibri"/>
          <w:sz w:val="20"/>
          <w:szCs w:val="20"/>
        </w:rPr>
        <w:t xml:space="preserve"> </w:t>
      </w:r>
      <w:r w:rsidRPr="008418FF">
        <w:rPr>
          <w:rFonts w:cs="Calibri"/>
          <w:iCs/>
          <w:sz w:val="20"/>
          <w:szCs w:val="20"/>
        </w:rPr>
        <w:t>Charact</w:t>
      </w:r>
      <w:r w:rsidRPr="008418FF">
        <w:rPr>
          <w:rFonts w:cs="Calibri"/>
          <w:iCs/>
          <w:spacing w:val="1"/>
          <w:sz w:val="20"/>
          <w:szCs w:val="20"/>
        </w:rPr>
        <w:t>e</w:t>
      </w:r>
      <w:r w:rsidRPr="008418FF">
        <w:rPr>
          <w:rFonts w:cs="Calibri"/>
          <w:iCs/>
          <w:sz w:val="20"/>
          <w:szCs w:val="20"/>
        </w:rPr>
        <w:t>r</w:t>
      </w:r>
      <w:r w:rsidRPr="008418FF">
        <w:rPr>
          <w:rFonts w:cs="Calibri"/>
          <w:iCs/>
          <w:spacing w:val="-1"/>
          <w:sz w:val="20"/>
          <w:szCs w:val="20"/>
        </w:rPr>
        <w:t>i</w:t>
      </w:r>
      <w:r w:rsidRPr="008418FF">
        <w:rPr>
          <w:rFonts w:cs="Calibri"/>
          <w:iCs/>
          <w:sz w:val="20"/>
          <w:szCs w:val="20"/>
        </w:rPr>
        <w:t>zing</w:t>
      </w:r>
      <w:r w:rsidRPr="008418FF">
        <w:rPr>
          <w:rFonts w:cs="Calibri"/>
          <w:sz w:val="20"/>
          <w:szCs w:val="20"/>
        </w:rPr>
        <w:t xml:space="preserve"> </w:t>
      </w:r>
      <w:r w:rsidRPr="008418FF">
        <w:rPr>
          <w:rFonts w:cs="Calibri"/>
          <w:iCs/>
          <w:sz w:val="20"/>
          <w:szCs w:val="20"/>
        </w:rPr>
        <w:t>the</w:t>
      </w:r>
      <w:r w:rsidRPr="008418FF">
        <w:rPr>
          <w:rFonts w:cs="Calibri"/>
          <w:sz w:val="20"/>
          <w:szCs w:val="20"/>
        </w:rPr>
        <w:t xml:space="preserve"> </w:t>
      </w:r>
      <w:r w:rsidRPr="008418FF">
        <w:rPr>
          <w:rFonts w:cs="Calibri"/>
          <w:iCs/>
          <w:sz w:val="20"/>
          <w:szCs w:val="20"/>
        </w:rPr>
        <w:t>software</w:t>
      </w:r>
      <w:r w:rsidRPr="008418FF">
        <w:rPr>
          <w:rFonts w:cs="Calibri"/>
          <w:sz w:val="20"/>
          <w:szCs w:val="20"/>
        </w:rPr>
        <w:t xml:space="preserve"> </w:t>
      </w:r>
      <w:r w:rsidRPr="008418FF">
        <w:rPr>
          <w:rFonts w:cs="Calibri"/>
          <w:iCs/>
          <w:sz w:val="20"/>
          <w:szCs w:val="20"/>
        </w:rPr>
        <w:t>process.</w:t>
      </w:r>
      <w:r w:rsidRPr="008418FF">
        <w:rPr>
          <w:rFonts w:cs="Calibri"/>
          <w:sz w:val="20"/>
          <w:szCs w:val="20"/>
        </w:rPr>
        <w:t xml:space="preserve"> </w:t>
      </w:r>
      <w:r w:rsidRPr="008418FF">
        <w:rPr>
          <w:rFonts w:cs="Calibri"/>
          <w:iCs/>
          <w:sz w:val="20"/>
          <w:szCs w:val="20"/>
        </w:rPr>
        <w:t>A</w:t>
      </w:r>
      <w:r w:rsidRPr="008418FF">
        <w:rPr>
          <w:rFonts w:cs="Calibri"/>
          <w:sz w:val="20"/>
          <w:szCs w:val="20"/>
        </w:rPr>
        <w:t xml:space="preserve"> </w:t>
      </w:r>
      <w:r w:rsidRPr="008418FF">
        <w:rPr>
          <w:rFonts w:cs="Calibri"/>
          <w:iCs/>
          <w:sz w:val="20"/>
          <w:szCs w:val="20"/>
        </w:rPr>
        <w:t>maturity</w:t>
      </w:r>
      <w:r w:rsidRPr="008418FF">
        <w:rPr>
          <w:rFonts w:cs="Calibri"/>
          <w:sz w:val="20"/>
          <w:szCs w:val="20"/>
        </w:rPr>
        <w:t xml:space="preserve"> </w:t>
      </w:r>
      <w:r w:rsidRPr="008418FF">
        <w:rPr>
          <w:rFonts w:cs="Calibri"/>
          <w:iCs/>
          <w:sz w:val="20"/>
          <w:szCs w:val="20"/>
        </w:rPr>
        <w:t>framework.</w:t>
      </w:r>
      <w:r w:rsidRPr="008418FF">
        <w:rPr>
          <w:rFonts w:cs="Calibri"/>
          <w:sz w:val="20"/>
          <w:szCs w:val="20"/>
        </w:rPr>
        <w:t xml:space="preserve"> </w:t>
      </w:r>
      <w:r w:rsidRPr="008418FF">
        <w:rPr>
          <w:rFonts w:cs="Calibri"/>
          <w:iCs/>
          <w:spacing w:val="1"/>
          <w:sz w:val="20"/>
          <w:szCs w:val="20"/>
        </w:rPr>
        <w:t>T</w:t>
      </w:r>
      <w:r w:rsidRPr="008418FF">
        <w:rPr>
          <w:rFonts w:cs="Calibri"/>
          <w:iCs/>
          <w:sz w:val="20"/>
          <w:szCs w:val="20"/>
        </w:rPr>
        <w:t>ec</w:t>
      </w:r>
      <w:r w:rsidRPr="008418FF">
        <w:rPr>
          <w:rFonts w:cs="Calibri"/>
          <w:iCs/>
          <w:spacing w:val="-1"/>
          <w:sz w:val="20"/>
          <w:szCs w:val="20"/>
        </w:rPr>
        <w:t>h</w:t>
      </w:r>
      <w:r w:rsidRPr="008418FF">
        <w:rPr>
          <w:rFonts w:cs="Calibri"/>
          <w:iCs/>
          <w:sz w:val="20"/>
          <w:szCs w:val="20"/>
        </w:rPr>
        <w:t>nical</w:t>
      </w:r>
      <w:r w:rsidRPr="008418FF">
        <w:rPr>
          <w:rFonts w:cs="Calibri"/>
          <w:sz w:val="20"/>
          <w:szCs w:val="20"/>
        </w:rPr>
        <w:t xml:space="preserve"> </w:t>
      </w:r>
      <w:r w:rsidRPr="008418FF">
        <w:rPr>
          <w:rFonts w:cs="Calibri"/>
          <w:iCs/>
          <w:sz w:val="20"/>
          <w:szCs w:val="20"/>
        </w:rPr>
        <w:t>report</w:t>
      </w:r>
      <w:r w:rsidRPr="008418FF">
        <w:rPr>
          <w:rFonts w:cs="Calibri"/>
          <w:sz w:val="20"/>
          <w:szCs w:val="20"/>
        </w:rPr>
        <w:t xml:space="preserve"> </w:t>
      </w:r>
      <w:r w:rsidRPr="008418FF">
        <w:rPr>
          <w:rFonts w:cs="Calibri"/>
          <w:iCs/>
          <w:sz w:val="20"/>
          <w:szCs w:val="20"/>
        </w:rPr>
        <w:t>CM</w:t>
      </w:r>
      <w:r w:rsidRPr="008418FF">
        <w:rPr>
          <w:rFonts w:cs="Calibri"/>
          <w:iCs/>
          <w:spacing w:val="1"/>
          <w:sz w:val="20"/>
          <w:szCs w:val="20"/>
        </w:rPr>
        <w:t>U</w:t>
      </w:r>
      <w:r w:rsidRPr="008418FF">
        <w:rPr>
          <w:rFonts w:cs="Calibri"/>
          <w:iCs/>
          <w:sz w:val="20"/>
          <w:szCs w:val="20"/>
        </w:rPr>
        <w:t>.</w:t>
      </w:r>
      <w:r w:rsidRPr="008418FF">
        <w:rPr>
          <w:rFonts w:cs="Calibri"/>
          <w:spacing w:val="-1"/>
          <w:sz w:val="20"/>
          <w:szCs w:val="20"/>
        </w:rPr>
        <w:t xml:space="preserve"> </w:t>
      </w:r>
      <w:r w:rsidRPr="008418FF">
        <w:rPr>
          <w:rFonts w:cs="Calibri"/>
          <w:iCs/>
          <w:sz w:val="20"/>
          <w:szCs w:val="20"/>
        </w:rPr>
        <w:t>SE</w:t>
      </w:r>
      <w:r w:rsidRPr="008418FF">
        <w:rPr>
          <w:rFonts w:cs="Calibri"/>
          <w:iCs/>
          <w:spacing w:val="1"/>
          <w:sz w:val="20"/>
          <w:szCs w:val="20"/>
        </w:rPr>
        <w:t>I</w:t>
      </w:r>
      <w:r w:rsidRPr="008418FF">
        <w:rPr>
          <w:rFonts w:cs="Calibri"/>
          <w:iCs/>
          <w:sz w:val="20"/>
          <w:szCs w:val="20"/>
        </w:rPr>
        <w:t>-87TR-11.</w:t>
      </w:r>
      <w:r w:rsidRPr="008418FF">
        <w:rPr>
          <w:rFonts w:cs="Calibri"/>
          <w:sz w:val="20"/>
          <w:szCs w:val="20"/>
        </w:rPr>
        <w:t xml:space="preserve"> </w:t>
      </w:r>
      <w:r w:rsidRPr="008418FF">
        <w:rPr>
          <w:rFonts w:cs="Calibri"/>
          <w:iCs/>
          <w:sz w:val="20"/>
          <w:szCs w:val="20"/>
        </w:rPr>
        <w:t>ESD-T</w:t>
      </w:r>
      <w:r w:rsidRPr="008418FF">
        <w:rPr>
          <w:rFonts w:cs="Calibri"/>
          <w:iCs/>
          <w:spacing w:val="1"/>
          <w:sz w:val="20"/>
          <w:szCs w:val="20"/>
        </w:rPr>
        <w:t>R</w:t>
      </w:r>
      <w:r w:rsidRPr="008418FF">
        <w:rPr>
          <w:rFonts w:cs="Calibri"/>
          <w:iCs/>
          <w:spacing w:val="-1"/>
          <w:sz w:val="20"/>
          <w:szCs w:val="20"/>
        </w:rPr>
        <w:t>-</w:t>
      </w:r>
      <w:r w:rsidRPr="008418FF">
        <w:rPr>
          <w:rFonts w:cs="Calibri"/>
          <w:iCs/>
          <w:sz w:val="20"/>
          <w:szCs w:val="20"/>
        </w:rPr>
        <w:t>8</w:t>
      </w:r>
      <w:r w:rsidRPr="008418FF">
        <w:rPr>
          <w:rFonts w:cs="Calibri"/>
          <w:iCs/>
          <w:spacing w:val="1"/>
          <w:sz w:val="20"/>
          <w:szCs w:val="20"/>
        </w:rPr>
        <w:t>7</w:t>
      </w:r>
      <w:r w:rsidRPr="008418FF">
        <w:rPr>
          <w:rFonts w:cs="Calibri"/>
          <w:iCs/>
          <w:sz w:val="20"/>
          <w:szCs w:val="20"/>
        </w:rPr>
        <w:t>-11</w:t>
      </w:r>
      <w:r w:rsidRPr="008418FF">
        <w:rPr>
          <w:rFonts w:cs="Calibri"/>
          <w:iCs/>
          <w:spacing w:val="-1"/>
          <w:sz w:val="20"/>
          <w:szCs w:val="20"/>
        </w:rPr>
        <w:t>2</w:t>
      </w:r>
      <w:r w:rsidRPr="008418FF">
        <w:rPr>
          <w:rFonts w:cs="Calibri"/>
          <w:iCs/>
          <w:sz w:val="20"/>
          <w:szCs w:val="20"/>
        </w:rPr>
        <w:t>.</w:t>
      </w:r>
      <w:r w:rsidRPr="008418FF">
        <w:rPr>
          <w:rFonts w:cs="Calibri"/>
          <w:sz w:val="20"/>
          <w:szCs w:val="20"/>
        </w:rPr>
        <w:t xml:space="preserve"> </w:t>
      </w:r>
      <w:r w:rsidRPr="008418FF">
        <w:rPr>
          <w:rFonts w:cs="Calibri"/>
          <w:iCs/>
          <w:sz w:val="20"/>
          <w:szCs w:val="20"/>
        </w:rPr>
        <w:t>June</w:t>
      </w:r>
      <w:r w:rsidRPr="008418FF">
        <w:rPr>
          <w:rFonts w:cs="Calibri"/>
          <w:sz w:val="20"/>
          <w:szCs w:val="20"/>
        </w:rPr>
        <w:t xml:space="preserve"> </w:t>
      </w:r>
      <w:r w:rsidRPr="008418FF">
        <w:rPr>
          <w:rFonts w:cs="Calibri"/>
          <w:iCs/>
          <w:sz w:val="20"/>
          <w:szCs w:val="20"/>
        </w:rPr>
        <w:t>1987.</w:t>
      </w:r>
    </w:p>
  </w:footnote>
  <w:footnote w:id="13">
    <w:p w14:paraId="27479B64" w14:textId="6C66F221" w:rsidR="00CE2E64" w:rsidRDefault="00CE2E64" w:rsidP="005536E2">
      <w:pPr>
        <w:pStyle w:val="FootnoteText"/>
        <w:spacing w:after="0" w:line="240" w:lineRule="auto"/>
      </w:pPr>
      <w:r>
        <w:rPr>
          <w:rStyle w:val="FootnoteReference"/>
        </w:rPr>
        <w:footnoteRef/>
      </w:r>
      <w:r>
        <w:t xml:space="preserve"> </w:t>
      </w:r>
      <w:r w:rsidRPr="00BB6791">
        <w:rPr>
          <w:i/>
        </w:rPr>
        <w:t>WHO Definitions and Reporting Framework for Tuberculosis – 2013 revision.</w:t>
      </w:r>
      <w:r>
        <w:t xml:space="preserve"> 2014</w:t>
      </w:r>
      <w:r w:rsidRPr="00BB6791">
        <w:t>.</w:t>
      </w:r>
      <w:r>
        <w:t xml:space="preserve"> </w:t>
      </w:r>
      <w:hyperlink r:id="rId6" w:history="1">
        <w:r w:rsidRPr="00BB6791">
          <w:rPr>
            <w:rStyle w:val="Hyperlink"/>
          </w:rPr>
          <w:t>http://apps.who.int/iris/bitstream/10665/791</w:t>
        </w:r>
        <w:r w:rsidRPr="00A65AD1">
          <w:rPr>
            <w:rStyle w:val="Hyperlink"/>
          </w:rPr>
          <w:t>99/1/9789241505345_eng.pdf?ua=1</w:t>
        </w:r>
      </w:hyperlink>
      <w:r>
        <w:t xml:space="preserve"> </w:t>
      </w:r>
    </w:p>
  </w:footnote>
  <w:footnote w:id="14">
    <w:p w14:paraId="7A971720" w14:textId="295B35AF" w:rsidR="00CE2E64" w:rsidRDefault="00CE2E64" w:rsidP="005536E2">
      <w:pPr>
        <w:pStyle w:val="FootnoteText"/>
        <w:spacing w:after="0" w:line="240" w:lineRule="auto"/>
      </w:pPr>
      <w:r>
        <w:rPr>
          <w:rStyle w:val="FootnoteReference"/>
        </w:rPr>
        <w:footnoteRef/>
      </w:r>
      <w:r>
        <w:t xml:space="preserve"> </w:t>
      </w:r>
      <w:r w:rsidRPr="00553F99">
        <w:rPr>
          <w:i/>
        </w:rPr>
        <w:t>GLI Practical Guide to TB Laboratory Strengthening</w:t>
      </w:r>
      <w:r w:rsidRPr="00553F99">
        <w:t>. 2017.</w:t>
      </w:r>
      <w:r>
        <w:t xml:space="preserve"> </w:t>
      </w:r>
      <w:hyperlink r:id="rId7" w:history="1">
        <w:r w:rsidRPr="00553F99">
          <w:rPr>
            <w:rStyle w:val="Hyperlink"/>
          </w:rPr>
          <w:t>http://stoptb.org/wg/gli/gat.asp</w:t>
        </w:r>
      </w:hyperlink>
    </w:p>
  </w:footnote>
  <w:footnote w:id="15">
    <w:p w14:paraId="50489032" w14:textId="77777777" w:rsidR="00CE2E64" w:rsidRDefault="00CE2E64" w:rsidP="005536E2">
      <w:pPr>
        <w:pStyle w:val="FootnoteText"/>
        <w:spacing w:line="240" w:lineRule="auto"/>
      </w:pPr>
      <w:r>
        <w:rPr>
          <w:rStyle w:val="FootnoteReference"/>
        </w:rPr>
        <w:footnoteRef/>
      </w:r>
      <w:r>
        <w:t xml:space="preserve"> </w:t>
      </w:r>
      <w:r w:rsidRPr="002103C0">
        <w:rPr>
          <w:i/>
        </w:rPr>
        <w:t>WHO Framework of indicators and targets for laboratory strengthening under the End TB Strategy</w:t>
      </w:r>
      <w:r>
        <w:t xml:space="preserve">. 2016. </w:t>
      </w:r>
      <w:hyperlink r:id="rId8" w:history="1">
        <w:r w:rsidRPr="002103C0">
          <w:rPr>
            <w:rStyle w:val="Hyperlink"/>
          </w:rPr>
          <w:t>http://www.who.int/tb/publications/labindicators/en/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4DF4" w14:textId="2EEA7E90" w:rsidR="00CE2E64" w:rsidRDefault="00CE2E64">
    <w:pPr>
      <w:pStyle w:val="Header"/>
    </w:pPr>
    <w:r>
      <w:t>National TB Diagnostic Assessment – Manual for Assessors</w:t>
    </w:r>
  </w:p>
  <w:p w14:paraId="15BA677E" w14:textId="19A2CFEC" w:rsidR="00CE2E64" w:rsidRDefault="00CE2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00CE2E64" w14:paraId="7A908819" w14:textId="77777777" w:rsidTr="78009272">
      <w:tc>
        <w:tcPr>
          <w:tcW w:w="3360" w:type="dxa"/>
        </w:tcPr>
        <w:p w14:paraId="47EA0D61" w14:textId="05050771" w:rsidR="00CE2E64" w:rsidRDefault="00CE2E64" w:rsidP="00AD54A8">
          <w:pPr>
            <w:pStyle w:val="Header"/>
            <w:ind w:left="-115"/>
          </w:pPr>
        </w:p>
      </w:tc>
      <w:tc>
        <w:tcPr>
          <w:tcW w:w="3360" w:type="dxa"/>
        </w:tcPr>
        <w:p w14:paraId="1AF2409F" w14:textId="643B9F5C" w:rsidR="00CE2E64" w:rsidRDefault="00CE2E64" w:rsidP="00AD54A8">
          <w:pPr>
            <w:pStyle w:val="Header"/>
            <w:jc w:val="center"/>
          </w:pPr>
        </w:p>
      </w:tc>
      <w:tc>
        <w:tcPr>
          <w:tcW w:w="3360" w:type="dxa"/>
        </w:tcPr>
        <w:p w14:paraId="700562E7" w14:textId="17B3030B" w:rsidR="00CE2E64" w:rsidRDefault="00CE2E64" w:rsidP="00AD54A8">
          <w:pPr>
            <w:pStyle w:val="Header"/>
            <w:ind w:right="-115"/>
            <w:jc w:val="right"/>
          </w:pPr>
        </w:p>
      </w:tc>
    </w:tr>
  </w:tbl>
  <w:p w14:paraId="5D8397B3" w14:textId="641CBA54" w:rsidR="00CE2E64" w:rsidRDefault="00CE2E64" w:rsidP="00AD54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CE2E64" w14:paraId="61635FD4" w14:textId="77777777" w:rsidTr="78009272">
      <w:tc>
        <w:tcPr>
          <w:tcW w:w="3600" w:type="dxa"/>
        </w:tcPr>
        <w:p w14:paraId="72E21781" w14:textId="7A91FFD2" w:rsidR="00CE2E64" w:rsidRDefault="00CE2E64" w:rsidP="00FF7E46">
          <w:pPr>
            <w:pStyle w:val="Header"/>
            <w:ind w:left="-115"/>
          </w:pPr>
        </w:p>
      </w:tc>
      <w:tc>
        <w:tcPr>
          <w:tcW w:w="3600" w:type="dxa"/>
        </w:tcPr>
        <w:p w14:paraId="0F983E29" w14:textId="3ACBB4A8" w:rsidR="00CE2E64" w:rsidRDefault="00CE2E64" w:rsidP="00FF7E46">
          <w:pPr>
            <w:pStyle w:val="Header"/>
            <w:jc w:val="center"/>
          </w:pPr>
        </w:p>
      </w:tc>
      <w:tc>
        <w:tcPr>
          <w:tcW w:w="3600" w:type="dxa"/>
        </w:tcPr>
        <w:p w14:paraId="5A1CED0F" w14:textId="6D39B0A1" w:rsidR="00CE2E64" w:rsidRDefault="00CE2E64" w:rsidP="00FF7E46">
          <w:pPr>
            <w:pStyle w:val="Header"/>
            <w:ind w:right="-115"/>
            <w:jc w:val="right"/>
          </w:pPr>
        </w:p>
      </w:tc>
    </w:tr>
  </w:tbl>
  <w:p w14:paraId="04FD2E62" w14:textId="1364999D" w:rsidR="00CE2E64" w:rsidRDefault="00CE2E64" w:rsidP="00FF7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0B25"/>
    <w:multiLevelType w:val="hybridMultilevel"/>
    <w:tmpl w:val="03B20D14"/>
    <w:lvl w:ilvl="0" w:tplc="488804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F496C"/>
    <w:multiLevelType w:val="hybridMultilevel"/>
    <w:tmpl w:val="D63068BE"/>
    <w:lvl w:ilvl="0" w:tplc="2ADA6C6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A2655"/>
    <w:multiLevelType w:val="hybridMultilevel"/>
    <w:tmpl w:val="7A34B44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0B2113E0"/>
    <w:multiLevelType w:val="hybridMultilevel"/>
    <w:tmpl w:val="691A7C10"/>
    <w:lvl w:ilvl="0" w:tplc="8784733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E1BF1"/>
    <w:multiLevelType w:val="hybridMultilevel"/>
    <w:tmpl w:val="25102158"/>
    <w:lvl w:ilvl="0" w:tplc="8784733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13C38"/>
    <w:multiLevelType w:val="hybridMultilevel"/>
    <w:tmpl w:val="D1C27588"/>
    <w:lvl w:ilvl="0" w:tplc="6EF65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A2636"/>
    <w:multiLevelType w:val="hybridMultilevel"/>
    <w:tmpl w:val="18C8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E2374"/>
    <w:multiLevelType w:val="hybridMultilevel"/>
    <w:tmpl w:val="A6F0DC9A"/>
    <w:lvl w:ilvl="0" w:tplc="2ADA6C60">
      <w:start w:val="2"/>
      <w:numFmt w:val="bullet"/>
      <w:lvlText w:val="-"/>
      <w:lvlJc w:val="left"/>
      <w:pPr>
        <w:ind w:left="2070" w:hanging="360"/>
      </w:pPr>
      <w:rPr>
        <w:rFonts w:ascii="Calibri" w:eastAsiaTheme="minorHAnsi" w:hAnsi="Calibri" w:cstheme="minorBidi"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FF673C3"/>
    <w:multiLevelType w:val="hybridMultilevel"/>
    <w:tmpl w:val="911C85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DB1711"/>
    <w:multiLevelType w:val="hybridMultilevel"/>
    <w:tmpl w:val="4D0E8902"/>
    <w:lvl w:ilvl="0" w:tplc="D08884B0">
      <w:start w:val="3"/>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8B2BBF"/>
    <w:multiLevelType w:val="hybridMultilevel"/>
    <w:tmpl w:val="FEA83C6E"/>
    <w:lvl w:ilvl="0" w:tplc="2ADA6C6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E11B5"/>
    <w:multiLevelType w:val="hybridMultilevel"/>
    <w:tmpl w:val="FCF27CCE"/>
    <w:lvl w:ilvl="0" w:tplc="2ADA6C6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E5C07"/>
    <w:multiLevelType w:val="hybridMultilevel"/>
    <w:tmpl w:val="637CFD9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3" w15:restartNumberingAfterBreak="0">
    <w:nsid w:val="29A008DF"/>
    <w:multiLevelType w:val="hybridMultilevel"/>
    <w:tmpl w:val="E6BE8E06"/>
    <w:lvl w:ilvl="0" w:tplc="488804C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F47D6"/>
    <w:multiLevelType w:val="hybridMultilevel"/>
    <w:tmpl w:val="543C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327D8"/>
    <w:multiLevelType w:val="hybridMultilevel"/>
    <w:tmpl w:val="9B5A3E9E"/>
    <w:lvl w:ilvl="0" w:tplc="8784733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AD06F5"/>
    <w:multiLevelType w:val="hybridMultilevel"/>
    <w:tmpl w:val="1F9888A2"/>
    <w:lvl w:ilvl="0" w:tplc="87847336">
      <w:start w:val="1"/>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E76E26"/>
    <w:multiLevelType w:val="hybridMultilevel"/>
    <w:tmpl w:val="FAB0C90E"/>
    <w:lvl w:ilvl="0" w:tplc="8784733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71051"/>
    <w:multiLevelType w:val="hybridMultilevel"/>
    <w:tmpl w:val="346EB9D2"/>
    <w:lvl w:ilvl="0" w:tplc="04090015">
      <w:start w:val="1"/>
      <w:numFmt w:val="upperLetter"/>
      <w:lvlText w:val="%1."/>
      <w:lvlJc w:val="left"/>
      <w:pPr>
        <w:ind w:left="1080" w:hanging="360"/>
      </w:pPr>
      <w:rPr>
        <w:rFonts w:hint="default"/>
      </w:rPr>
    </w:lvl>
    <w:lvl w:ilvl="1" w:tplc="0388BE78">
      <w:numFmt w:val="bullet"/>
      <w:lvlText w:val=""/>
      <w:lvlJc w:val="left"/>
      <w:pPr>
        <w:ind w:left="1080" w:hanging="360"/>
      </w:pPr>
      <w:rPr>
        <w:rFonts w:ascii="Symbol" w:eastAsia="Times New Roman" w:hAnsi="Symbol" w:cs="Symbol" w:hint="default"/>
        <w:sz w:val="24"/>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BF46BF"/>
    <w:multiLevelType w:val="hybridMultilevel"/>
    <w:tmpl w:val="BE66EFB0"/>
    <w:lvl w:ilvl="0" w:tplc="488804C4">
      <w:numFmt w:val="bullet"/>
      <w:lvlText w:val="•"/>
      <w:lvlJc w:val="left"/>
      <w:pPr>
        <w:ind w:left="1800" w:hanging="360"/>
      </w:pPr>
      <w:rPr>
        <w:rFonts w:ascii="Times New Roman" w:eastAsia="Calibri" w:hAnsi="Times New Roman" w:cs="Times New Roman" w:hint="default"/>
      </w:rPr>
    </w:lvl>
    <w:lvl w:ilvl="1" w:tplc="488804C4">
      <w:numFmt w:val="bullet"/>
      <w:lvlText w:val="•"/>
      <w:lvlJc w:val="left"/>
      <w:pPr>
        <w:ind w:left="2520" w:hanging="360"/>
      </w:pPr>
      <w:rPr>
        <w:rFonts w:ascii="Times New Roman" w:eastAsia="Calibri"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CD4350"/>
    <w:multiLevelType w:val="hybridMultilevel"/>
    <w:tmpl w:val="488C7862"/>
    <w:lvl w:ilvl="0" w:tplc="2ADA6C60">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7F585E"/>
    <w:multiLevelType w:val="hybridMultilevel"/>
    <w:tmpl w:val="D39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33D5A"/>
    <w:multiLevelType w:val="hybridMultilevel"/>
    <w:tmpl w:val="66AAFC9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4299E"/>
    <w:multiLevelType w:val="hybridMultilevel"/>
    <w:tmpl w:val="8B884FEA"/>
    <w:lvl w:ilvl="0" w:tplc="2ADA6C6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9C4FFF"/>
    <w:multiLevelType w:val="hybridMultilevel"/>
    <w:tmpl w:val="46E41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877906"/>
    <w:multiLevelType w:val="hybridMultilevel"/>
    <w:tmpl w:val="439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50A0B"/>
    <w:multiLevelType w:val="hybridMultilevel"/>
    <w:tmpl w:val="CEF4DB00"/>
    <w:lvl w:ilvl="0" w:tplc="488804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74004"/>
    <w:multiLevelType w:val="hybridMultilevel"/>
    <w:tmpl w:val="C3A62B54"/>
    <w:lvl w:ilvl="0" w:tplc="A288DD2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B502B"/>
    <w:multiLevelType w:val="hybridMultilevel"/>
    <w:tmpl w:val="B5AC127C"/>
    <w:lvl w:ilvl="0" w:tplc="2ADA6C6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212A4A"/>
    <w:multiLevelType w:val="hybridMultilevel"/>
    <w:tmpl w:val="0E2C13FC"/>
    <w:lvl w:ilvl="0" w:tplc="488804C4">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A2760C8"/>
    <w:multiLevelType w:val="hybridMultilevel"/>
    <w:tmpl w:val="5A1671F8"/>
    <w:lvl w:ilvl="0" w:tplc="2ADA6C60">
      <w:start w:val="2"/>
      <w:numFmt w:val="bullet"/>
      <w:lvlText w:val="-"/>
      <w:lvlJc w:val="left"/>
      <w:pPr>
        <w:tabs>
          <w:tab w:val="num" w:pos="720"/>
        </w:tabs>
        <w:ind w:left="720" w:hanging="360"/>
      </w:pPr>
      <w:rPr>
        <w:rFonts w:ascii="Calibri" w:eastAsiaTheme="minorHAnsi" w:hAnsi="Calibri" w:cstheme="minorBidi" w:hint="default"/>
      </w:rPr>
    </w:lvl>
    <w:lvl w:ilvl="1" w:tplc="87847336">
      <w:start w:val="1"/>
      <w:numFmt w:val="bullet"/>
      <w:lvlText w:val="•"/>
      <w:lvlJc w:val="left"/>
      <w:pPr>
        <w:tabs>
          <w:tab w:val="num" w:pos="1440"/>
        </w:tabs>
        <w:ind w:left="1440" w:hanging="360"/>
      </w:pPr>
      <w:rPr>
        <w:rFonts w:ascii="Arial" w:hAnsi="Arial" w:hint="default"/>
      </w:rPr>
    </w:lvl>
    <w:lvl w:ilvl="2" w:tplc="5A2CDE24" w:tentative="1">
      <w:start w:val="1"/>
      <w:numFmt w:val="bullet"/>
      <w:lvlText w:val="•"/>
      <w:lvlJc w:val="left"/>
      <w:pPr>
        <w:tabs>
          <w:tab w:val="num" w:pos="2160"/>
        </w:tabs>
        <w:ind w:left="2160" w:hanging="360"/>
      </w:pPr>
      <w:rPr>
        <w:rFonts w:ascii="Arial" w:hAnsi="Arial" w:hint="default"/>
      </w:rPr>
    </w:lvl>
    <w:lvl w:ilvl="3" w:tplc="8FB48932" w:tentative="1">
      <w:start w:val="1"/>
      <w:numFmt w:val="bullet"/>
      <w:lvlText w:val="•"/>
      <w:lvlJc w:val="left"/>
      <w:pPr>
        <w:tabs>
          <w:tab w:val="num" w:pos="2880"/>
        </w:tabs>
        <w:ind w:left="2880" w:hanging="360"/>
      </w:pPr>
      <w:rPr>
        <w:rFonts w:ascii="Arial" w:hAnsi="Arial" w:hint="default"/>
      </w:rPr>
    </w:lvl>
    <w:lvl w:ilvl="4" w:tplc="AEDA61F0" w:tentative="1">
      <w:start w:val="1"/>
      <w:numFmt w:val="bullet"/>
      <w:lvlText w:val="•"/>
      <w:lvlJc w:val="left"/>
      <w:pPr>
        <w:tabs>
          <w:tab w:val="num" w:pos="3600"/>
        </w:tabs>
        <w:ind w:left="3600" w:hanging="360"/>
      </w:pPr>
      <w:rPr>
        <w:rFonts w:ascii="Arial" w:hAnsi="Arial" w:hint="default"/>
      </w:rPr>
    </w:lvl>
    <w:lvl w:ilvl="5" w:tplc="8D56988C" w:tentative="1">
      <w:start w:val="1"/>
      <w:numFmt w:val="bullet"/>
      <w:lvlText w:val="•"/>
      <w:lvlJc w:val="left"/>
      <w:pPr>
        <w:tabs>
          <w:tab w:val="num" w:pos="4320"/>
        </w:tabs>
        <w:ind w:left="4320" w:hanging="360"/>
      </w:pPr>
      <w:rPr>
        <w:rFonts w:ascii="Arial" w:hAnsi="Arial" w:hint="default"/>
      </w:rPr>
    </w:lvl>
    <w:lvl w:ilvl="6" w:tplc="BCDA74C6" w:tentative="1">
      <w:start w:val="1"/>
      <w:numFmt w:val="bullet"/>
      <w:lvlText w:val="•"/>
      <w:lvlJc w:val="left"/>
      <w:pPr>
        <w:tabs>
          <w:tab w:val="num" w:pos="5040"/>
        </w:tabs>
        <w:ind w:left="5040" w:hanging="360"/>
      </w:pPr>
      <w:rPr>
        <w:rFonts w:ascii="Arial" w:hAnsi="Arial" w:hint="default"/>
      </w:rPr>
    </w:lvl>
    <w:lvl w:ilvl="7" w:tplc="4A7A9580" w:tentative="1">
      <w:start w:val="1"/>
      <w:numFmt w:val="bullet"/>
      <w:lvlText w:val="•"/>
      <w:lvlJc w:val="left"/>
      <w:pPr>
        <w:tabs>
          <w:tab w:val="num" w:pos="5760"/>
        </w:tabs>
        <w:ind w:left="5760" w:hanging="360"/>
      </w:pPr>
      <w:rPr>
        <w:rFonts w:ascii="Arial" w:hAnsi="Arial" w:hint="default"/>
      </w:rPr>
    </w:lvl>
    <w:lvl w:ilvl="8" w:tplc="ED126A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CB00A05"/>
    <w:multiLevelType w:val="hybridMultilevel"/>
    <w:tmpl w:val="1444F0FE"/>
    <w:lvl w:ilvl="0" w:tplc="87847336">
      <w:start w:val="1"/>
      <w:numFmt w:val="bullet"/>
      <w:lvlText w:val="•"/>
      <w:lvlJc w:val="left"/>
      <w:pPr>
        <w:ind w:left="1094" w:hanging="360"/>
      </w:pPr>
      <w:rPr>
        <w:rFonts w:ascii="Arial" w:hAnsi="Aria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2" w15:restartNumberingAfterBreak="0">
    <w:nsid w:val="62720B77"/>
    <w:multiLevelType w:val="hybridMultilevel"/>
    <w:tmpl w:val="3260F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0050A8"/>
    <w:multiLevelType w:val="hybridMultilevel"/>
    <w:tmpl w:val="D368DF5A"/>
    <w:lvl w:ilvl="0" w:tplc="87847336">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A24851"/>
    <w:multiLevelType w:val="hybridMultilevel"/>
    <w:tmpl w:val="351CD962"/>
    <w:lvl w:ilvl="0" w:tplc="87847336">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C26603"/>
    <w:multiLevelType w:val="hybridMultilevel"/>
    <w:tmpl w:val="9FE23490"/>
    <w:lvl w:ilvl="0" w:tplc="488804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80703"/>
    <w:multiLevelType w:val="hybridMultilevel"/>
    <w:tmpl w:val="386CE196"/>
    <w:lvl w:ilvl="0" w:tplc="488804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0420E"/>
    <w:multiLevelType w:val="hybridMultilevel"/>
    <w:tmpl w:val="95543908"/>
    <w:lvl w:ilvl="0" w:tplc="488804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A6FE5"/>
    <w:multiLevelType w:val="hybridMultilevel"/>
    <w:tmpl w:val="D60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20B5A"/>
    <w:multiLevelType w:val="hybridMultilevel"/>
    <w:tmpl w:val="6B784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A3A39"/>
    <w:multiLevelType w:val="hybridMultilevel"/>
    <w:tmpl w:val="A0C09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A87B0A"/>
    <w:multiLevelType w:val="hybridMultilevel"/>
    <w:tmpl w:val="E65E3BA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EA722C9"/>
    <w:multiLevelType w:val="hybridMultilevel"/>
    <w:tmpl w:val="4DD6799C"/>
    <w:lvl w:ilvl="0" w:tplc="2ADA6C6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18"/>
  </w:num>
  <w:num w:numId="4">
    <w:abstractNumId w:val="40"/>
  </w:num>
  <w:num w:numId="5">
    <w:abstractNumId w:val="6"/>
  </w:num>
  <w:num w:numId="6">
    <w:abstractNumId w:val="13"/>
  </w:num>
  <w:num w:numId="7">
    <w:abstractNumId w:val="20"/>
  </w:num>
  <w:num w:numId="8">
    <w:abstractNumId w:val="23"/>
  </w:num>
  <w:num w:numId="9">
    <w:abstractNumId w:val="42"/>
  </w:num>
  <w:num w:numId="10">
    <w:abstractNumId w:val="28"/>
  </w:num>
  <w:num w:numId="11">
    <w:abstractNumId w:val="10"/>
  </w:num>
  <w:num w:numId="12">
    <w:abstractNumId w:val="1"/>
  </w:num>
  <w:num w:numId="13">
    <w:abstractNumId w:val="11"/>
  </w:num>
  <w:num w:numId="14">
    <w:abstractNumId w:val="30"/>
  </w:num>
  <w:num w:numId="15">
    <w:abstractNumId w:val="26"/>
  </w:num>
  <w:num w:numId="16">
    <w:abstractNumId w:val="37"/>
  </w:num>
  <w:num w:numId="17">
    <w:abstractNumId w:val="7"/>
  </w:num>
  <w:num w:numId="18">
    <w:abstractNumId w:val="9"/>
  </w:num>
  <w:num w:numId="19">
    <w:abstractNumId w:val="21"/>
  </w:num>
  <w:num w:numId="20">
    <w:abstractNumId w:val="35"/>
  </w:num>
  <w:num w:numId="21">
    <w:abstractNumId w:val="25"/>
  </w:num>
  <w:num w:numId="22">
    <w:abstractNumId w:val="14"/>
  </w:num>
  <w:num w:numId="23">
    <w:abstractNumId w:val="0"/>
  </w:num>
  <w:num w:numId="24">
    <w:abstractNumId w:val="31"/>
  </w:num>
  <w:num w:numId="25">
    <w:abstractNumId w:val="34"/>
  </w:num>
  <w:num w:numId="26">
    <w:abstractNumId w:val="33"/>
  </w:num>
  <w:num w:numId="27">
    <w:abstractNumId w:val="16"/>
  </w:num>
  <w:num w:numId="28">
    <w:abstractNumId w:val="15"/>
  </w:num>
  <w:num w:numId="29">
    <w:abstractNumId w:val="29"/>
  </w:num>
  <w:num w:numId="30">
    <w:abstractNumId w:val="19"/>
  </w:num>
  <w:num w:numId="31">
    <w:abstractNumId w:val="36"/>
  </w:num>
  <w:num w:numId="32">
    <w:abstractNumId w:val="38"/>
  </w:num>
  <w:num w:numId="33">
    <w:abstractNumId w:val="5"/>
  </w:num>
  <w:num w:numId="34">
    <w:abstractNumId w:val="17"/>
  </w:num>
  <w:num w:numId="35">
    <w:abstractNumId w:val="4"/>
  </w:num>
  <w:num w:numId="36">
    <w:abstractNumId w:val="3"/>
  </w:num>
  <w:num w:numId="37">
    <w:abstractNumId w:val="27"/>
  </w:num>
  <w:num w:numId="38">
    <w:abstractNumId w:val="22"/>
  </w:num>
  <w:num w:numId="39">
    <w:abstractNumId w:val="24"/>
  </w:num>
  <w:num w:numId="40">
    <w:abstractNumId w:val="41"/>
  </w:num>
  <w:num w:numId="41">
    <w:abstractNumId w:val="2"/>
  </w:num>
  <w:num w:numId="42">
    <w:abstractNumId w:val="12"/>
  </w:num>
  <w:num w:numId="43">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bordersDoNotSurroundHeader/>
  <w:bordersDoNotSurroundFooter/>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C57"/>
    <w:rsid w:val="0000077F"/>
    <w:rsid w:val="000025A5"/>
    <w:rsid w:val="0000270C"/>
    <w:rsid w:val="0000283E"/>
    <w:rsid w:val="00002939"/>
    <w:rsid w:val="00004141"/>
    <w:rsid w:val="0000552C"/>
    <w:rsid w:val="00005BF9"/>
    <w:rsid w:val="000068CF"/>
    <w:rsid w:val="0001088B"/>
    <w:rsid w:val="00010E9C"/>
    <w:rsid w:val="0001275F"/>
    <w:rsid w:val="00012CFD"/>
    <w:rsid w:val="0001591D"/>
    <w:rsid w:val="00022C62"/>
    <w:rsid w:val="00023F22"/>
    <w:rsid w:val="00025A3C"/>
    <w:rsid w:val="00030848"/>
    <w:rsid w:val="0003267C"/>
    <w:rsid w:val="00032F49"/>
    <w:rsid w:val="000335B3"/>
    <w:rsid w:val="00033736"/>
    <w:rsid w:val="00033A2A"/>
    <w:rsid w:val="00034E42"/>
    <w:rsid w:val="00034F22"/>
    <w:rsid w:val="0003509E"/>
    <w:rsid w:val="00042766"/>
    <w:rsid w:val="00042953"/>
    <w:rsid w:val="000467CF"/>
    <w:rsid w:val="0004782D"/>
    <w:rsid w:val="00052C4B"/>
    <w:rsid w:val="00052E04"/>
    <w:rsid w:val="00054162"/>
    <w:rsid w:val="000560E8"/>
    <w:rsid w:val="00061987"/>
    <w:rsid w:val="00061FD9"/>
    <w:rsid w:val="000625CE"/>
    <w:rsid w:val="000642E0"/>
    <w:rsid w:val="00064686"/>
    <w:rsid w:val="00065C81"/>
    <w:rsid w:val="00071BF0"/>
    <w:rsid w:val="00072A89"/>
    <w:rsid w:val="000751D0"/>
    <w:rsid w:val="00075FC2"/>
    <w:rsid w:val="0007793C"/>
    <w:rsid w:val="000802F7"/>
    <w:rsid w:val="00080598"/>
    <w:rsid w:val="00081247"/>
    <w:rsid w:val="00081E3D"/>
    <w:rsid w:val="00081F30"/>
    <w:rsid w:val="0008222A"/>
    <w:rsid w:val="00082979"/>
    <w:rsid w:val="00084AD5"/>
    <w:rsid w:val="00084DAA"/>
    <w:rsid w:val="00085876"/>
    <w:rsid w:val="000863EB"/>
    <w:rsid w:val="0009176D"/>
    <w:rsid w:val="000921A0"/>
    <w:rsid w:val="00092435"/>
    <w:rsid w:val="00095525"/>
    <w:rsid w:val="000973D1"/>
    <w:rsid w:val="000A228D"/>
    <w:rsid w:val="000A2575"/>
    <w:rsid w:val="000A281B"/>
    <w:rsid w:val="000A38C2"/>
    <w:rsid w:val="000A402A"/>
    <w:rsid w:val="000A4F64"/>
    <w:rsid w:val="000A60E2"/>
    <w:rsid w:val="000A63E4"/>
    <w:rsid w:val="000A677B"/>
    <w:rsid w:val="000A6825"/>
    <w:rsid w:val="000A68D8"/>
    <w:rsid w:val="000A7741"/>
    <w:rsid w:val="000A7F34"/>
    <w:rsid w:val="000B0374"/>
    <w:rsid w:val="000B0B5F"/>
    <w:rsid w:val="000B1D87"/>
    <w:rsid w:val="000B31F6"/>
    <w:rsid w:val="000B4467"/>
    <w:rsid w:val="000B4FD4"/>
    <w:rsid w:val="000B64B8"/>
    <w:rsid w:val="000B65ED"/>
    <w:rsid w:val="000B7B3E"/>
    <w:rsid w:val="000C1567"/>
    <w:rsid w:val="000C1B16"/>
    <w:rsid w:val="000C1F39"/>
    <w:rsid w:val="000D2E5F"/>
    <w:rsid w:val="000D35D3"/>
    <w:rsid w:val="000D3DA2"/>
    <w:rsid w:val="000D43D8"/>
    <w:rsid w:val="000D6389"/>
    <w:rsid w:val="000D7C5B"/>
    <w:rsid w:val="000E21D3"/>
    <w:rsid w:val="000E3325"/>
    <w:rsid w:val="000E389D"/>
    <w:rsid w:val="000E6105"/>
    <w:rsid w:val="000E78D0"/>
    <w:rsid w:val="000F03ED"/>
    <w:rsid w:val="000F091F"/>
    <w:rsid w:val="000F0987"/>
    <w:rsid w:val="000F4F4C"/>
    <w:rsid w:val="000F5714"/>
    <w:rsid w:val="000F63AD"/>
    <w:rsid w:val="000F66EA"/>
    <w:rsid w:val="000F6841"/>
    <w:rsid w:val="000F6A0A"/>
    <w:rsid w:val="000F7ABA"/>
    <w:rsid w:val="00101366"/>
    <w:rsid w:val="0010185D"/>
    <w:rsid w:val="00101B61"/>
    <w:rsid w:val="00103312"/>
    <w:rsid w:val="00105BA6"/>
    <w:rsid w:val="00105EBC"/>
    <w:rsid w:val="00105F1C"/>
    <w:rsid w:val="001102F3"/>
    <w:rsid w:val="00111A55"/>
    <w:rsid w:val="0011374B"/>
    <w:rsid w:val="00114778"/>
    <w:rsid w:val="0011687C"/>
    <w:rsid w:val="001173B2"/>
    <w:rsid w:val="001175B3"/>
    <w:rsid w:val="00117C78"/>
    <w:rsid w:val="00117EAF"/>
    <w:rsid w:val="00121267"/>
    <w:rsid w:val="001221C3"/>
    <w:rsid w:val="00122851"/>
    <w:rsid w:val="001241CA"/>
    <w:rsid w:val="00125176"/>
    <w:rsid w:val="00125436"/>
    <w:rsid w:val="00126BD5"/>
    <w:rsid w:val="00127E88"/>
    <w:rsid w:val="00130CB8"/>
    <w:rsid w:val="00131890"/>
    <w:rsid w:val="00132D31"/>
    <w:rsid w:val="0013311F"/>
    <w:rsid w:val="0013769F"/>
    <w:rsid w:val="0014414E"/>
    <w:rsid w:val="001525B3"/>
    <w:rsid w:val="00154137"/>
    <w:rsid w:val="00157C02"/>
    <w:rsid w:val="00161312"/>
    <w:rsid w:val="0016191D"/>
    <w:rsid w:val="001619E7"/>
    <w:rsid w:val="00162397"/>
    <w:rsid w:val="00163388"/>
    <w:rsid w:val="001634D2"/>
    <w:rsid w:val="00166657"/>
    <w:rsid w:val="00167FDD"/>
    <w:rsid w:val="00171C90"/>
    <w:rsid w:val="001737AE"/>
    <w:rsid w:val="001749AE"/>
    <w:rsid w:val="00175F7E"/>
    <w:rsid w:val="001809F2"/>
    <w:rsid w:val="00180EBD"/>
    <w:rsid w:val="0018102A"/>
    <w:rsid w:val="001847E6"/>
    <w:rsid w:val="001873F9"/>
    <w:rsid w:val="00193E79"/>
    <w:rsid w:val="00193F23"/>
    <w:rsid w:val="001948B6"/>
    <w:rsid w:val="0019567E"/>
    <w:rsid w:val="001961E1"/>
    <w:rsid w:val="00197969"/>
    <w:rsid w:val="001A2151"/>
    <w:rsid w:val="001A2518"/>
    <w:rsid w:val="001A2A68"/>
    <w:rsid w:val="001A2AB4"/>
    <w:rsid w:val="001A45D3"/>
    <w:rsid w:val="001A4A45"/>
    <w:rsid w:val="001A5CEF"/>
    <w:rsid w:val="001A647E"/>
    <w:rsid w:val="001A7EAC"/>
    <w:rsid w:val="001B34F8"/>
    <w:rsid w:val="001B4E20"/>
    <w:rsid w:val="001B7158"/>
    <w:rsid w:val="001C16BC"/>
    <w:rsid w:val="001C45D0"/>
    <w:rsid w:val="001C4C52"/>
    <w:rsid w:val="001C6A24"/>
    <w:rsid w:val="001C734F"/>
    <w:rsid w:val="001D42A6"/>
    <w:rsid w:val="001D574B"/>
    <w:rsid w:val="001D5CA6"/>
    <w:rsid w:val="001D6726"/>
    <w:rsid w:val="001D6953"/>
    <w:rsid w:val="001D6FB4"/>
    <w:rsid w:val="001D746C"/>
    <w:rsid w:val="001D753B"/>
    <w:rsid w:val="001D7D80"/>
    <w:rsid w:val="001E0F00"/>
    <w:rsid w:val="001E23AE"/>
    <w:rsid w:val="001E4128"/>
    <w:rsid w:val="001E69F2"/>
    <w:rsid w:val="001E6D37"/>
    <w:rsid w:val="001F1056"/>
    <w:rsid w:val="001F40ED"/>
    <w:rsid w:val="001F5504"/>
    <w:rsid w:val="001F558B"/>
    <w:rsid w:val="001F64DA"/>
    <w:rsid w:val="001F6644"/>
    <w:rsid w:val="001F732A"/>
    <w:rsid w:val="001F789F"/>
    <w:rsid w:val="00200909"/>
    <w:rsid w:val="002012AA"/>
    <w:rsid w:val="00201919"/>
    <w:rsid w:val="002046F0"/>
    <w:rsid w:val="00204946"/>
    <w:rsid w:val="00205F3A"/>
    <w:rsid w:val="00210003"/>
    <w:rsid w:val="002103C0"/>
    <w:rsid w:val="002121EE"/>
    <w:rsid w:val="00212405"/>
    <w:rsid w:val="00212658"/>
    <w:rsid w:val="0021303F"/>
    <w:rsid w:val="0021359B"/>
    <w:rsid w:val="00213FEE"/>
    <w:rsid w:val="00215413"/>
    <w:rsid w:val="002176DC"/>
    <w:rsid w:val="002178D6"/>
    <w:rsid w:val="00222D75"/>
    <w:rsid w:val="00222F75"/>
    <w:rsid w:val="002255F6"/>
    <w:rsid w:val="00226522"/>
    <w:rsid w:val="00227324"/>
    <w:rsid w:val="00227978"/>
    <w:rsid w:val="002303AE"/>
    <w:rsid w:val="00230482"/>
    <w:rsid w:val="002325C5"/>
    <w:rsid w:val="00233189"/>
    <w:rsid w:val="0023402B"/>
    <w:rsid w:val="00234407"/>
    <w:rsid w:val="00236F5E"/>
    <w:rsid w:val="00241A7C"/>
    <w:rsid w:val="00242415"/>
    <w:rsid w:val="00242E06"/>
    <w:rsid w:val="00243363"/>
    <w:rsid w:val="00243BDA"/>
    <w:rsid w:val="00243E16"/>
    <w:rsid w:val="0024461F"/>
    <w:rsid w:val="00245255"/>
    <w:rsid w:val="002477BF"/>
    <w:rsid w:val="00250395"/>
    <w:rsid w:val="0025175B"/>
    <w:rsid w:val="002525F4"/>
    <w:rsid w:val="00255F65"/>
    <w:rsid w:val="0025650D"/>
    <w:rsid w:val="002579C3"/>
    <w:rsid w:val="0026153A"/>
    <w:rsid w:val="00264B5F"/>
    <w:rsid w:val="002653EC"/>
    <w:rsid w:val="00266C48"/>
    <w:rsid w:val="00270D0F"/>
    <w:rsid w:val="00271C6F"/>
    <w:rsid w:val="0027276B"/>
    <w:rsid w:val="002805A7"/>
    <w:rsid w:val="002820E9"/>
    <w:rsid w:val="002822D5"/>
    <w:rsid w:val="00283545"/>
    <w:rsid w:val="002837F5"/>
    <w:rsid w:val="002839F2"/>
    <w:rsid w:val="00283DF5"/>
    <w:rsid w:val="00285463"/>
    <w:rsid w:val="002856A6"/>
    <w:rsid w:val="00285FEC"/>
    <w:rsid w:val="00286394"/>
    <w:rsid w:val="00286780"/>
    <w:rsid w:val="002901CD"/>
    <w:rsid w:val="00292831"/>
    <w:rsid w:val="00294047"/>
    <w:rsid w:val="002A0F2F"/>
    <w:rsid w:val="002A0FCE"/>
    <w:rsid w:val="002A3A5E"/>
    <w:rsid w:val="002A4E66"/>
    <w:rsid w:val="002A6E72"/>
    <w:rsid w:val="002B264F"/>
    <w:rsid w:val="002B2D0B"/>
    <w:rsid w:val="002B309F"/>
    <w:rsid w:val="002B30D7"/>
    <w:rsid w:val="002B3FC4"/>
    <w:rsid w:val="002C0EC8"/>
    <w:rsid w:val="002C2A35"/>
    <w:rsid w:val="002C4372"/>
    <w:rsid w:val="002C5006"/>
    <w:rsid w:val="002C5139"/>
    <w:rsid w:val="002C60D2"/>
    <w:rsid w:val="002C6709"/>
    <w:rsid w:val="002C7E7C"/>
    <w:rsid w:val="002D13BC"/>
    <w:rsid w:val="002D1EA4"/>
    <w:rsid w:val="002D24D2"/>
    <w:rsid w:val="002D3634"/>
    <w:rsid w:val="002D433F"/>
    <w:rsid w:val="002D6546"/>
    <w:rsid w:val="002E1A72"/>
    <w:rsid w:val="002E239D"/>
    <w:rsid w:val="002E41FE"/>
    <w:rsid w:val="002E525A"/>
    <w:rsid w:val="002E6759"/>
    <w:rsid w:val="002E6C92"/>
    <w:rsid w:val="002F05B9"/>
    <w:rsid w:val="002F1F19"/>
    <w:rsid w:val="002F3EDF"/>
    <w:rsid w:val="002F518E"/>
    <w:rsid w:val="002F5DFB"/>
    <w:rsid w:val="002F6E16"/>
    <w:rsid w:val="00300027"/>
    <w:rsid w:val="0030051C"/>
    <w:rsid w:val="00300D05"/>
    <w:rsid w:val="003030EF"/>
    <w:rsid w:val="00303B51"/>
    <w:rsid w:val="00303E14"/>
    <w:rsid w:val="00303FE0"/>
    <w:rsid w:val="0030514B"/>
    <w:rsid w:val="00305F6A"/>
    <w:rsid w:val="00310A6D"/>
    <w:rsid w:val="0031339F"/>
    <w:rsid w:val="00316893"/>
    <w:rsid w:val="00322526"/>
    <w:rsid w:val="0032288F"/>
    <w:rsid w:val="00324D91"/>
    <w:rsid w:val="00327549"/>
    <w:rsid w:val="00332D50"/>
    <w:rsid w:val="00334648"/>
    <w:rsid w:val="003428EC"/>
    <w:rsid w:val="0035029A"/>
    <w:rsid w:val="00350C08"/>
    <w:rsid w:val="00351348"/>
    <w:rsid w:val="00351728"/>
    <w:rsid w:val="00352833"/>
    <w:rsid w:val="00356A84"/>
    <w:rsid w:val="0035796F"/>
    <w:rsid w:val="0036111A"/>
    <w:rsid w:val="00361AB2"/>
    <w:rsid w:val="00361FAF"/>
    <w:rsid w:val="00363761"/>
    <w:rsid w:val="003657E8"/>
    <w:rsid w:val="003660D7"/>
    <w:rsid w:val="0037055B"/>
    <w:rsid w:val="00373F6E"/>
    <w:rsid w:val="003745B4"/>
    <w:rsid w:val="0037539D"/>
    <w:rsid w:val="003759D7"/>
    <w:rsid w:val="00376CE7"/>
    <w:rsid w:val="00380FF1"/>
    <w:rsid w:val="003855D9"/>
    <w:rsid w:val="003920B3"/>
    <w:rsid w:val="00392A0E"/>
    <w:rsid w:val="00393BE3"/>
    <w:rsid w:val="00394F48"/>
    <w:rsid w:val="0039604D"/>
    <w:rsid w:val="00396891"/>
    <w:rsid w:val="003A0C80"/>
    <w:rsid w:val="003A1B62"/>
    <w:rsid w:val="003A1CBD"/>
    <w:rsid w:val="003A36AC"/>
    <w:rsid w:val="003A5F23"/>
    <w:rsid w:val="003A64D5"/>
    <w:rsid w:val="003B0303"/>
    <w:rsid w:val="003B03EC"/>
    <w:rsid w:val="003B05A8"/>
    <w:rsid w:val="003B247A"/>
    <w:rsid w:val="003B25F5"/>
    <w:rsid w:val="003B2D1C"/>
    <w:rsid w:val="003B4157"/>
    <w:rsid w:val="003B61CF"/>
    <w:rsid w:val="003B65CC"/>
    <w:rsid w:val="003B68B5"/>
    <w:rsid w:val="003B69D6"/>
    <w:rsid w:val="003C03D5"/>
    <w:rsid w:val="003C0DA2"/>
    <w:rsid w:val="003C2A1C"/>
    <w:rsid w:val="003C2D14"/>
    <w:rsid w:val="003C2DA3"/>
    <w:rsid w:val="003C3192"/>
    <w:rsid w:val="003C6309"/>
    <w:rsid w:val="003D0A1E"/>
    <w:rsid w:val="003D1AF6"/>
    <w:rsid w:val="003D2056"/>
    <w:rsid w:val="003D249D"/>
    <w:rsid w:val="003D37D1"/>
    <w:rsid w:val="003D5C57"/>
    <w:rsid w:val="003D5DA3"/>
    <w:rsid w:val="003D5DD3"/>
    <w:rsid w:val="003D6643"/>
    <w:rsid w:val="003D791D"/>
    <w:rsid w:val="003E029A"/>
    <w:rsid w:val="003E055E"/>
    <w:rsid w:val="003E1107"/>
    <w:rsid w:val="003E3096"/>
    <w:rsid w:val="003E337B"/>
    <w:rsid w:val="003E4999"/>
    <w:rsid w:val="003E61E6"/>
    <w:rsid w:val="003E7B31"/>
    <w:rsid w:val="003E7D01"/>
    <w:rsid w:val="003F02F7"/>
    <w:rsid w:val="003F0903"/>
    <w:rsid w:val="003F2308"/>
    <w:rsid w:val="003F2D48"/>
    <w:rsid w:val="003F2DD2"/>
    <w:rsid w:val="003F629B"/>
    <w:rsid w:val="003F77A9"/>
    <w:rsid w:val="004030F6"/>
    <w:rsid w:val="004077A0"/>
    <w:rsid w:val="00411651"/>
    <w:rsid w:val="00412466"/>
    <w:rsid w:val="00412F68"/>
    <w:rsid w:val="00413AAE"/>
    <w:rsid w:val="00415FCE"/>
    <w:rsid w:val="00416C85"/>
    <w:rsid w:val="00417C80"/>
    <w:rsid w:val="0042072F"/>
    <w:rsid w:val="00421251"/>
    <w:rsid w:val="00423058"/>
    <w:rsid w:val="00423AD6"/>
    <w:rsid w:val="00424C1C"/>
    <w:rsid w:val="004261EC"/>
    <w:rsid w:val="00431B51"/>
    <w:rsid w:val="0043520A"/>
    <w:rsid w:val="00437BAA"/>
    <w:rsid w:val="00437E78"/>
    <w:rsid w:val="004405BA"/>
    <w:rsid w:val="004424CA"/>
    <w:rsid w:val="00442A1B"/>
    <w:rsid w:val="00444A2C"/>
    <w:rsid w:val="004456D6"/>
    <w:rsid w:val="00447AB2"/>
    <w:rsid w:val="004528FA"/>
    <w:rsid w:val="004550DF"/>
    <w:rsid w:val="004558A2"/>
    <w:rsid w:val="00455B78"/>
    <w:rsid w:val="00460562"/>
    <w:rsid w:val="004626DF"/>
    <w:rsid w:val="00462C52"/>
    <w:rsid w:val="004646D1"/>
    <w:rsid w:val="00464FFE"/>
    <w:rsid w:val="004655AC"/>
    <w:rsid w:val="0046644F"/>
    <w:rsid w:val="0047147D"/>
    <w:rsid w:val="00475885"/>
    <w:rsid w:val="00475D50"/>
    <w:rsid w:val="00476166"/>
    <w:rsid w:val="004763AF"/>
    <w:rsid w:val="00476E5F"/>
    <w:rsid w:val="00481DC5"/>
    <w:rsid w:val="004827B6"/>
    <w:rsid w:val="00484190"/>
    <w:rsid w:val="00484311"/>
    <w:rsid w:val="00484D31"/>
    <w:rsid w:val="00485FBA"/>
    <w:rsid w:val="00485FBD"/>
    <w:rsid w:val="00487D11"/>
    <w:rsid w:val="004904A5"/>
    <w:rsid w:val="00492A4B"/>
    <w:rsid w:val="004951A0"/>
    <w:rsid w:val="004966B8"/>
    <w:rsid w:val="00496F7C"/>
    <w:rsid w:val="004A3F16"/>
    <w:rsid w:val="004A4C14"/>
    <w:rsid w:val="004A52BC"/>
    <w:rsid w:val="004A5A5F"/>
    <w:rsid w:val="004A734B"/>
    <w:rsid w:val="004B0776"/>
    <w:rsid w:val="004B4A2F"/>
    <w:rsid w:val="004B4A80"/>
    <w:rsid w:val="004B4B26"/>
    <w:rsid w:val="004B51E5"/>
    <w:rsid w:val="004B60D0"/>
    <w:rsid w:val="004B7F6E"/>
    <w:rsid w:val="004C0633"/>
    <w:rsid w:val="004C0CCE"/>
    <w:rsid w:val="004C244A"/>
    <w:rsid w:val="004C2C30"/>
    <w:rsid w:val="004C2EEE"/>
    <w:rsid w:val="004C4172"/>
    <w:rsid w:val="004C6511"/>
    <w:rsid w:val="004D0820"/>
    <w:rsid w:val="004D28FF"/>
    <w:rsid w:val="004D2AEF"/>
    <w:rsid w:val="004D2C96"/>
    <w:rsid w:val="004D6060"/>
    <w:rsid w:val="004D6708"/>
    <w:rsid w:val="004E1D60"/>
    <w:rsid w:val="004E3792"/>
    <w:rsid w:val="004E58AA"/>
    <w:rsid w:val="004F1DF1"/>
    <w:rsid w:val="004F24DE"/>
    <w:rsid w:val="004F44E7"/>
    <w:rsid w:val="004F5296"/>
    <w:rsid w:val="004F6672"/>
    <w:rsid w:val="00500C95"/>
    <w:rsid w:val="00504633"/>
    <w:rsid w:val="00505153"/>
    <w:rsid w:val="005063E8"/>
    <w:rsid w:val="005109DF"/>
    <w:rsid w:val="00510D26"/>
    <w:rsid w:val="00512278"/>
    <w:rsid w:val="00513947"/>
    <w:rsid w:val="00513B6A"/>
    <w:rsid w:val="0051449D"/>
    <w:rsid w:val="00514DA5"/>
    <w:rsid w:val="00515163"/>
    <w:rsid w:val="005163C5"/>
    <w:rsid w:val="00516490"/>
    <w:rsid w:val="005223DF"/>
    <w:rsid w:val="00524D28"/>
    <w:rsid w:val="00524F3A"/>
    <w:rsid w:val="005251D5"/>
    <w:rsid w:val="005253E2"/>
    <w:rsid w:val="00527A73"/>
    <w:rsid w:val="005328B0"/>
    <w:rsid w:val="00532E39"/>
    <w:rsid w:val="00533B50"/>
    <w:rsid w:val="00535A9C"/>
    <w:rsid w:val="00536F35"/>
    <w:rsid w:val="0054153F"/>
    <w:rsid w:val="0054188E"/>
    <w:rsid w:val="00541C0D"/>
    <w:rsid w:val="00542251"/>
    <w:rsid w:val="00542CDD"/>
    <w:rsid w:val="00546545"/>
    <w:rsid w:val="0054659E"/>
    <w:rsid w:val="00550A01"/>
    <w:rsid w:val="005519AF"/>
    <w:rsid w:val="005536E2"/>
    <w:rsid w:val="00553F99"/>
    <w:rsid w:val="00557C15"/>
    <w:rsid w:val="00560289"/>
    <w:rsid w:val="00561C4D"/>
    <w:rsid w:val="00564623"/>
    <w:rsid w:val="00566873"/>
    <w:rsid w:val="00566C9E"/>
    <w:rsid w:val="005672D3"/>
    <w:rsid w:val="00567674"/>
    <w:rsid w:val="00571760"/>
    <w:rsid w:val="00571F6F"/>
    <w:rsid w:val="005725DD"/>
    <w:rsid w:val="00572C91"/>
    <w:rsid w:val="00573299"/>
    <w:rsid w:val="0057566A"/>
    <w:rsid w:val="005757A2"/>
    <w:rsid w:val="005759B2"/>
    <w:rsid w:val="00575A00"/>
    <w:rsid w:val="00576615"/>
    <w:rsid w:val="00576CEB"/>
    <w:rsid w:val="00577349"/>
    <w:rsid w:val="0058018F"/>
    <w:rsid w:val="005805FA"/>
    <w:rsid w:val="00580ED1"/>
    <w:rsid w:val="00580F26"/>
    <w:rsid w:val="005825F1"/>
    <w:rsid w:val="005835D7"/>
    <w:rsid w:val="005839D3"/>
    <w:rsid w:val="00585AEC"/>
    <w:rsid w:val="00586C82"/>
    <w:rsid w:val="0058794C"/>
    <w:rsid w:val="00591265"/>
    <w:rsid w:val="00591BA6"/>
    <w:rsid w:val="0059318B"/>
    <w:rsid w:val="0059452E"/>
    <w:rsid w:val="00594B38"/>
    <w:rsid w:val="005972D0"/>
    <w:rsid w:val="005A0904"/>
    <w:rsid w:val="005A11A0"/>
    <w:rsid w:val="005A16BA"/>
    <w:rsid w:val="005A1885"/>
    <w:rsid w:val="005A1EF5"/>
    <w:rsid w:val="005A4733"/>
    <w:rsid w:val="005A4A60"/>
    <w:rsid w:val="005A605D"/>
    <w:rsid w:val="005A6865"/>
    <w:rsid w:val="005A756C"/>
    <w:rsid w:val="005B0C09"/>
    <w:rsid w:val="005B0E95"/>
    <w:rsid w:val="005B2D28"/>
    <w:rsid w:val="005B3B3F"/>
    <w:rsid w:val="005B5543"/>
    <w:rsid w:val="005B567A"/>
    <w:rsid w:val="005B75EC"/>
    <w:rsid w:val="005C1B43"/>
    <w:rsid w:val="005C3978"/>
    <w:rsid w:val="005D063C"/>
    <w:rsid w:val="005D28B0"/>
    <w:rsid w:val="005D2AB9"/>
    <w:rsid w:val="005D2D3B"/>
    <w:rsid w:val="005D3C87"/>
    <w:rsid w:val="005D4608"/>
    <w:rsid w:val="005D4911"/>
    <w:rsid w:val="005D4944"/>
    <w:rsid w:val="005D4ABE"/>
    <w:rsid w:val="005D59CF"/>
    <w:rsid w:val="005E00FD"/>
    <w:rsid w:val="005E2423"/>
    <w:rsid w:val="005E4BF1"/>
    <w:rsid w:val="005E549E"/>
    <w:rsid w:val="005F185A"/>
    <w:rsid w:val="005F1F51"/>
    <w:rsid w:val="005F59A4"/>
    <w:rsid w:val="006011D2"/>
    <w:rsid w:val="0060558D"/>
    <w:rsid w:val="006062FA"/>
    <w:rsid w:val="006065E6"/>
    <w:rsid w:val="00624FD9"/>
    <w:rsid w:val="00633EA0"/>
    <w:rsid w:val="0063479D"/>
    <w:rsid w:val="00634911"/>
    <w:rsid w:val="00634B95"/>
    <w:rsid w:val="00635065"/>
    <w:rsid w:val="0063696A"/>
    <w:rsid w:val="0064029A"/>
    <w:rsid w:val="006404AC"/>
    <w:rsid w:val="006439EF"/>
    <w:rsid w:val="00644C15"/>
    <w:rsid w:val="00646267"/>
    <w:rsid w:val="00646578"/>
    <w:rsid w:val="00646FFB"/>
    <w:rsid w:val="00651613"/>
    <w:rsid w:val="00652918"/>
    <w:rsid w:val="00652CED"/>
    <w:rsid w:val="006535D0"/>
    <w:rsid w:val="006541DA"/>
    <w:rsid w:val="006574D2"/>
    <w:rsid w:val="00657A0A"/>
    <w:rsid w:val="00661A0C"/>
    <w:rsid w:val="006629A7"/>
    <w:rsid w:val="006631DE"/>
    <w:rsid w:val="00663F6A"/>
    <w:rsid w:val="00665B79"/>
    <w:rsid w:val="00666A9A"/>
    <w:rsid w:val="00667638"/>
    <w:rsid w:val="00667D8D"/>
    <w:rsid w:val="00670356"/>
    <w:rsid w:val="00670AB3"/>
    <w:rsid w:val="0067149C"/>
    <w:rsid w:val="00672A39"/>
    <w:rsid w:val="006730B2"/>
    <w:rsid w:val="006734A3"/>
    <w:rsid w:val="00673E72"/>
    <w:rsid w:val="0068015C"/>
    <w:rsid w:val="00681854"/>
    <w:rsid w:val="00684696"/>
    <w:rsid w:val="00690B0E"/>
    <w:rsid w:val="00692653"/>
    <w:rsid w:val="00693A52"/>
    <w:rsid w:val="00694127"/>
    <w:rsid w:val="0069538E"/>
    <w:rsid w:val="00696592"/>
    <w:rsid w:val="00696EDD"/>
    <w:rsid w:val="006971C8"/>
    <w:rsid w:val="006A0073"/>
    <w:rsid w:val="006A15E7"/>
    <w:rsid w:val="006A75E8"/>
    <w:rsid w:val="006A7FE8"/>
    <w:rsid w:val="006B0177"/>
    <w:rsid w:val="006B0251"/>
    <w:rsid w:val="006B22AB"/>
    <w:rsid w:val="006B2424"/>
    <w:rsid w:val="006B426E"/>
    <w:rsid w:val="006B5D65"/>
    <w:rsid w:val="006B6A40"/>
    <w:rsid w:val="006C179A"/>
    <w:rsid w:val="006C3FA7"/>
    <w:rsid w:val="006C54D0"/>
    <w:rsid w:val="006C748D"/>
    <w:rsid w:val="006D07A7"/>
    <w:rsid w:val="006D25C7"/>
    <w:rsid w:val="006D379D"/>
    <w:rsid w:val="006D4C50"/>
    <w:rsid w:val="006D4E90"/>
    <w:rsid w:val="006D5CA8"/>
    <w:rsid w:val="006D6B3F"/>
    <w:rsid w:val="006D7908"/>
    <w:rsid w:val="006D7F23"/>
    <w:rsid w:val="006E0416"/>
    <w:rsid w:val="006E2717"/>
    <w:rsid w:val="006E4182"/>
    <w:rsid w:val="006E4773"/>
    <w:rsid w:val="006E7458"/>
    <w:rsid w:val="006F1DB0"/>
    <w:rsid w:val="006F3F3C"/>
    <w:rsid w:val="006F4031"/>
    <w:rsid w:val="006F6089"/>
    <w:rsid w:val="006F74BC"/>
    <w:rsid w:val="006F7FBF"/>
    <w:rsid w:val="00700961"/>
    <w:rsid w:val="00703755"/>
    <w:rsid w:val="00703F28"/>
    <w:rsid w:val="00705932"/>
    <w:rsid w:val="00705F3F"/>
    <w:rsid w:val="00707519"/>
    <w:rsid w:val="00710169"/>
    <w:rsid w:val="0071178C"/>
    <w:rsid w:val="00712393"/>
    <w:rsid w:val="007146CE"/>
    <w:rsid w:val="00714FA9"/>
    <w:rsid w:val="00716349"/>
    <w:rsid w:val="00717076"/>
    <w:rsid w:val="00717EB6"/>
    <w:rsid w:val="00720515"/>
    <w:rsid w:val="00720767"/>
    <w:rsid w:val="00721017"/>
    <w:rsid w:val="00726DD5"/>
    <w:rsid w:val="00727176"/>
    <w:rsid w:val="0072760A"/>
    <w:rsid w:val="007300B7"/>
    <w:rsid w:val="00731C76"/>
    <w:rsid w:val="00731CE4"/>
    <w:rsid w:val="0073275A"/>
    <w:rsid w:val="00733D46"/>
    <w:rsid w:val="00735FB6"/>
    <w:rsid w:val="0073668E"/>
    <w:rsid w:val="00737540"/>
    <w:rsid w:val="00741212"/>
    <w:rsid w:val="007412A9"/>
    <w:rsid w:val="00742A5E"/>
    <w:rsid w:val="00742CD2"/>
    <w:rsid w:val="0074478F"/>
    <w:rsid w:val="007464A5"/>
    <w:rsid w:val="00747392"/>
    <w:rsid w:val="007478BF"/>
    <w:rsid w:val="00747937"/>
    <w:rsid w:val="00747C09"/>
    <w:rsid w:val="007533B9"/>
    <w:rsid w:val="0075411B"/>
    <w:rsid w:val="00754F4A"/>
    <w:rsid w:val="00757E82"/>
    <w:rsid w:val="007622C9"/>
    <w:rsid w:val="007655A2"/>
    <w:rsid w:val="00766ECB"/>
    <w:rsid w:val="007705E9"/>
    <w:rsid w:val="00770D05"/>
    <w:rsid w:val="00770F69"/>
    <w:rsid w:val="00771ABB"/>
    <w:rsid w:val="007724A2"/>
    <w:rsid w:val="0077516C"/>
    <w:rsid w:val="007766BE"/>
    <w:rsid w:val="00776D54"/>
    <w:rsid w:val="00780E93"/>
    <w:rsid w:val="00782041"/>
    <w:rsid w:val="00782546"/>
    <w:rsid w:val="00782F90"/>
    <w:rsid w:val="0078367B"/>
    <w:rsid w:val="0078502D"/>
    <w:rsid w:val="00791091"/>
    <w:rsid w:val="00791DCD"/>
    <w:rsid w:val="00792AC8"/>
    <w:rsid w:val="00793B18"/>
    <w:rsid w:val="007949A4"/>
    <w:rsid w:val="007969B6"/>
    <w:rsid w:val="00796B72"/>
    <w:rsid w:val="0079760D"/>
    <w:rsid w:val="00797742"/>
    <w:rsid w:val="007A37A9"/>
    <w:rsid w:val="007A4285"/>
    <w:rsid w:val="007A45B7"/>
    <w:rsid w:val="007A6440"/>
    <w:rsid w:val="007A7402"/>
    <w:rsid w:val="007B2183"/>
    <w:rsid w:val="007B30F0"/>
    <w:rsid w:val="007B4B75"/>
    <w:rsid w:val="007B4F1B"/>
    <w:rsid w:val="007B4FE9"/>
    <w:rsid w:val="007B6D7A"/>
    <w:rsid w:val="007B7A77"/>
    <w:rsid w:val="007C0D7D"/>
    <w:rsid w:val="007C13AE"/>
    <w:rsid w:val="007C15C4"/>
    <w:rsid w:val="007C37EA"/>
    <w:rsid w:val="007C40B6"/>
    <w:rsid w:val="007C73C0"/>
    <w:rsid w:val="007C78E5"/>
    <w:rsid w:val="007D018D"/>
    <w:rsid w:val="007D0B0D"/>
    <w:rsid w:val="007D0B1B"/>
    <w:rsid w:val="007D2197"/>
    <w:rsid w:val="007D264D"/>
    <w:rsid w:val="007D2A9D"/>
    <w:rsid w:val="007D2E70"/>
    <w:rsid w:val="007D3572"/>
    <w:rsid w:val="007D3C8B"/>
    <w:rsid w:val="007D3E74"/>
    <w:rsid w:val="007D47F4"/>
    <w:rsid w:val="007E2B5E"/>
    <w:rsid w:val="007E344D"/>
    <w:rsid w:val="007E4401"/>
    <w:rsid w:val="007E4DE5"/>
    <w:rsid w:val="007E517E"/>
    <w:rsid w:val="007F0CAD"/>
    <w:rsid w:val="007F2355"/>
    <w:rsid w:val="007F32FD"/>
    <w:rsid w:val="007F5F96"/>
    <w:rsid w:val="007F6321"/>
    <w:rsid w:val="007F7047"/>
    <w:rsid w:val="007F769E"/>
    <w:rsid w:val="007F7C1B"/>
    <w:rsid w:val="008000B2"/>
    <w:rsid w:val="00800D9B"/>
    <w:rsid w:val="008015BC"/>
    <w:rsid w:val="008018DD"/>
    <w:rsid w:val="0080388B"/>
    <w:rsid w:val="0080433A"/>
    <w:rsid w:val="0081063E"/>
    <w:rsid w:val="0081337E"/>
    <w:rsid w:val="00813982"/>
    <w:rsid w:val="00813F47"/>
    <w:rsid w:val="00816077"/>
    <w:rsid w:val="0081646C"/>
    <w:rsid w:val="00817C53"/>
    <w:rsid w:val="00817E79"/>
    <w:rsid w:val="00822DAF"/>
    <w:rsid w:val="00823C3F"/>
    <w:rsid w:val="00827857"/>
    <w:rsid w:val="00827AB7"/>
    <w:rsid w:val="00827DFB"/>
    <w:rsid w:val="00831C5C"/>
    <w:rsid w:val="00832701"/>
    <w:rsid w:val="00833E06"/>
    <w:rsid w:val="00834144"/>
    <w:rsid w:val="00834A2E"/>
    <w:rsid w:val="00836DC0"/>
    <w:rsid w:val="00837F70"/>
    <w:rsid w:val="00840375"/>
    <w:rsid w:val="008418FF"/>
    <w:rsid w:val="00841E62"/>
    <w:rsid w:val="00842D39"/>
    <w:rsid w:val="00845E87"/>
    <w:rsid w:val="0084715F"/>
    <w:rsid w:val="008471EB"/>
    <w:rsid w:val="00851304"/>
    <w:rsid w:val="008516AC"/>
    <w:rsid w:val="0085290A"/>
    <w:rsid w:val="0085475D"/>
    <w:rsid w:val="008550DA"/>
    <w:rsid w:val="00855F2B"/>
    <w:rsid w:val="008564FF"/>
    <w:rsid w:val="008609DA"/>
    <w:rsid w:val="00860D4F"/>
    <w:rsid w:val="00861517"/>
    <w:rsid w:val="00861A4F"/>
    <w:rsid w:val="00862A9D"/>
    <w:rsid w:val="008633E7"/>
    <w:rsid w:val="008635C0"/>
    <w:rsid w:val="0086384A"/>
    <w:rsid w:val="008647AA"/>
    <w:rsid w:val="008670AF"/>
    <w:rsid w:val="0086766F"/>
    <w:rsid w:val="00867AA6"/>
    <w:rsid w:val="00873EB5"/>
    <w:rsid w:val="008745C8"/>
    <w:rsid w:val="00874B93"/>
    <w:rsid w:val="008769EF"/>
    <w:rsid w:val="00876CBE"/>
    <w:rsid w:val="00876F5F"/>
    <w:rsid w:val="008770B6"/>
    <w:rsid w:val="00880693"/>
    <w:rsid w:val="00880C75"/>
    <w:rsid w:val="008819F3"/>
    <w:rsid w:val="008833E8"/>
    <w:rsid w:val="0088405A"/>
    <w:rsid w:val="00884736"/>
    <w:rsid w:val="0088509A"/>
    <w:rsid w:val="00885EAA"/>
    <w:rsid w:val="008866BA"/>
    <w:rsid w:val="008909F1"/>
    <w:rsid w:val="00891322"/>
    <w:rsid w:val="008914B8"/>
    <w:rsid w:val="0089154F"/>
    <w:rsid w:val="008924AF"/>
    <w:rsid w:val="00893239"/>
    <w:rsid w:val="0089343D"/>
    <w:rsid w:val="00893E15"/>
    <w:rsid w:val="00894DEB"/>
    <w:rsid w:val="008966C0"/>
    <w:rsid w:val="008977B2"/>
    <w:rsid w:val="008978B6"/>
    <w:rsid w:val="008979AA"/>
    <w:rsid w:val="00897D18"/>
    <w:rsid w:val="008A04EC"/>
    <w:rsid w:val="008A0964"/>
    <w:rsid w:val="008A29FC"/>
    <w:rsid w:val="008A2E27"/>
    <w:rsid w:val="008A65E6"/>
    <w:rsid w:val="008A706A"/>
    <w:rsid w:val="008A7278"/>
    <w:rsid w:val="008A7643"/>
    <w:rsid w:val="008A7CD7"/>
    <w:rsid w:val="008B063A"/>
    <w:rsid w:val="008B13A7"/>
    <w:rsid w:val="008B2CE5"/>
    <w:rsid w:val="008B3145"/>
    <w:rsid w:val="008B3946"/>
    <w:rsid w:val="008B3F6F"/>
    <w:rsid w:val="008B5083"/>
    <w:rsid w:val="008B7112"/>
    <w:rsid w:val="008B7650"/>
    <w:rsid w:val="008C14E8"/>
    <w:rsid w:val="008C1C71"/>
    <w:rsid w:val="008C3D22"/>
    <w:rsid w:val="008C53B0"/>
    <w:rsid w:val="008C611B"/>
    <w:rsid w:val="008C78D8"/>
    <w:rsid w:val="008C7E1A"/>
    <w:rsid w:val="008D0B99"/>
    <w:rsid w:val="008D1279"/>
    <w:rsid w:val="008D1295"/>
    <w:rsid w:val="008D360B"/>
    <w:rsid w:val="008D7C3F"/>
    <w:rsid w:val="008E065F"/>
    <w:rsid w:val="008E1E46"/>
    <w:rsid w:val="008E252B"/>
    <w:rsid w:val="008E3371"/>
    <w:rsid w:val="008E4D03"/>
    <w:rsid w:val="008E5EDF"/>
    <w:rsid w:val="008E5F0C"/>
    <w:rsid w:val="008E790C"/>
    <w:rsid w:val="008F08E4"/>
    <w:rsid w:val="008F0D25"/>
    <w:rsid w:val="008F4AD5"/>
    <w:rsid w:val="008F55DF"/>
    <w:rsid w:val="008F5D42"/>
    <w:rsid w:val="008F79FE"/>
    <w:rsid w:val="00900366"/>
    <w:rsid w:val="00900F33"/>
    <w:rsid w:val="00900F7E"/>
    <w:rsid w:val="00901081"/>
    <w:rsid w:val="009015F0"/>
    <w:rsid w:val="009026D3"/>
    <w:rsid w:val="00903A06"/>
    <w:rsid w:val="009052BA"/>
    <w:rsid w:val="00905B2C"/>
    <w:rsid w:val="00911527"/>
    <w:rsid w:val="00914787"/>
    <w:rsid w:val="0091500E"/>
    <w:rsid w:val="00916627"/>
    <w:rsid w:val="009173F5"/>
    <w:rsid w:val="00917664"/>
    <w:rsid w:val="0091771C"/>
    <w:rsid w:val="00917BE1"/>
    <w:rsid w:val="009207AA"/>
    <w:rsid w:val="0092143C"/>
    <w:rsid w:val="00921653"/>
    <w:rsid w:val="0092213C"/>
    <w:rsid w:val="00922266"/>
    <w:rsid w:val="009225BA"/>
    <w:rsid w:val="00925C64"/>
    <w:rsid w:val="00925E2A"/>
    <w:rsid w:val="00927537"/>
    <w:rsid w:val="00927C3D"/>
    <w:rsid w:val="0093159D"/>
    <w:rsid w:val="00931A34"/>
    <w:rsid w:val="009322D8"/>
    <w:rsid w:val="00933708"/>
    <w:rsid w:val="009346DE"/>
    <w:rsid w:val="00935DB2"/>
    <w:rsid w:val="00937F56"/>
    <w:rsid w:val="00942326"/>
    <w:rsid w:val="00942603"/>
    <w:rsid w:val="009436E8"/>
    <w:rsid w:val="00943F0D"/>
    <w:rsid w:val="009472CF"/>
    <w:rsid w:val="009477DB"/>
    <w:rsid w:val="009505CF"/>
    <w:rsid w:val="00950C5A"/>
    <w:rsid w:val="00951A68"/>
    <w:rsid w:val="00956380"/>
    <w:rsid w:val="009577D2"/>
    <w:rsid w:val="00957B27"/>
    <w:rsid w:val="009608DA"/>
    <w:rsid w:val="009610E7"/>
    <w:rsid w:val="00962524"/>
    <w:rsid w:val="00962BD2"/>
    <w:rsid w:val="00962F6E"/>
    <w:rsid w:val="00964182"/>
    <w:rsid w:val="00966B7B"/>
    <w:rsid w:val="0096772F"/>
    <w:rsid w:val="00967DCC"/>
    <w:rsid w:val="00967F29"/>
    <w:rsid w:val="00970A93"/>
    <w:rsid w:val="00971B13"/>
    <w:rsid w:val="00972120"/>
    <w:rsid w:val="009731AD"/>
    <w:rsid w:val="009736D3"/>
    <w:rsid w:val="00974817"/>
    <w:rsid w:val="00975C71"/>
    <w:rsid w:val="00977A74"/>
    <w:rsid w:val="00980657"/>
    <w:rsid w:val="00980C31"/>
    <w:rsid w:val="00982741"/>
    <w:rsid w:val="00983AA3"/>
    <w:rsid w:val="009846AE"/>
    <w:rsid w:val="009860F7"/>
    <w:rsid w:val="00986EC6"/>
    <w:rsid w:val="00987837"/>
    <w:rsid w:val="00987C99"/>
    <w:rsid w:val="00987F78"/>
    <w:rsid w:val="009906E8"/>
    <w:rsid w:val="00993CCC"/>
    <w:rsid w:val="009940A6"/>
    <w:rsid w:val="00995275"/>
    <w:rsid w:val="009972C0"/>
    <w:rsid w:val="0099768C"/>
    <w:rsid w:val="009A044C"/>
    <w:rsid w:val="009A068B"/>
    <w:rsid w:val="009A2E5D"/>
    <w:rsid w:val="009A36D7"/>
    <w:rsid w:val="009A5FC8"/>
    <w:rsid w:val="009A6AC4"/>
    <w:rsid w:val="009A7178"/>
    <w:rsid w:val="009B0BBA"/>
    <w:rsid w:val="009B1336"/>
    <w:rsid w:val="009B2F12"/>
    <w:rsid w:val="009B3F7A"/>
    <w:rsid w:val="009B472B"/>
    <w:rsid w:val="009B4E42"/>
    <w:rsid w:val="009C102D"/>
    <w:rsid w:val="009C3215"/>
    <w:rsid w:val="009C35AF"/>
    <w:rsid w:val="009C5994"/>
    <w:rsid w:val="009C6D55"/>
    <w:rsid w:val="009D0949"/>
    <w:rsid w:val="009D13C4"/>
    <w:rsid w:val="009D359B"/>
    <w:rsid w:val="009D41DF"/>
    <w:rsid w:val="009D6A52"/>
    <w:rsid w:val="009D701C"/>
    <w:rsid w:val="009D72FC"/>
    <w:rsid w:val="009D7E13"/>
    <w:rsid w:val="009E226B"/>
    <w:rsid w:val="009E25FD"/>
    <w:rsid w:val="009E31C7"/>
    <w:rsid w:val="009E4E28"/>
    <w:rsid w:val="009E54D6"/>
    <w:rsid w:val="009E5BDF"/>
    <w:rsid w:val="009F0B50"/>
    <w:rsid w:val="009F1BEE"/>
    <w:rsid w:val="009F2553"/>
    <w:rsid w:val="009F5CF7"/>
    <w:rsid w:val="009F6942"/>
    <w:rsid w:val="00A00877"/>
    <w:rsid w:val="00A0116B"/>
    <w:rsid w:val="00A02B1C"/>
    <w:rsid w:val="00A047D4"/>
    <w:rsid w:val="00A05CB9"/>
    <w:rsid w:val="00A064CC"/>
    <w:rsid w:val="00A102D1"/>
    <w:rsid w:val="00A1047C"/>
    <w:rsid w:val="00A11805"/>
    <w:rsid w:val="00A11B2B"/>
    <w:rsid w:val="00A1243E"/>
    <w:rsid w:val="00A129D8"/>
    <w:rsid w:val="00A12F52"/>
    <w:rsid w:val="00A1397F"/>
    <w:rsid w:val="00A16A92"/>
    <w:rsid w:val="00A20C86"/>
    <w:rsid w:val="00A23A6B"/>
    <w:rsid w:val="00A23EF1"/>
    <w:rsid w:val="00A25EE2"/>
    <w:rsid w:val="00A269DE"/>
    <w:rsid w:val="00A27124"/>
    <w:rsid w:val="00A2722A"/>
    <w:rsid w:val="00A27413"/>
    <w:rsid w:val="00A27803"/>
    <w:rsid w:val="00A27CCF"/>
    <w:rsid w:val="00A311B1"/>
    <w:rsid w:val="00A3203F"/>
    <w:rsid w:val="00A330E8"/>
    <w:rsid w:val="00A335ED"/>
    <w:rsid w:val="00A33E17"/>
    <w:rsid w:val="00A33E1B"/>
    <w:rsid w:val="00A33FBF"/>
    <w:rsid w:val="00A36580"/>
    <w:rsid w:val="00A427DE"/>
    <w:rsid w:val="00A43030"/>
    <w:rsid w:val="00A44A38"/>
    <w:rsid w:val="00A47B42"/>
    <w:rsid w:val="00A50B0E"/>
    <w:rsid w:val="00A51814"/>
    <w:rsid w:val="00A526E6"/>
    <w:rsid w:val="00A52A28"/>
    <w:rsid w:val="00A538F7"/>
    <w:rsid w:val="00A615E1"/>
    <w:rsid w:val="00A64963"/>
    <w:rsid w:val="00A649DB"/>
    <w:rsid w:val="00A64F0D"/>
    <w:rsid w:val="00A678B5"/>
    <w:rsid w:val="00A7162B"/>
    <w:rsid w:val="00A741B9"/>
    <w:rsid w:val="00A74411"/>
    <w:rsid w:val="00A77785"/>
    <w:rsid w:val="00A80F43"/>
    <w:rsid w:val="00A81D7C"/>
    <w:rsid w:val="00A8209A"/>
    <w:rsid w:val="00A83A6A"/>
    <w:rsid w:val="00A87C76"/>
    <w:rsid w:val="00A90FA8"/>
    <w:rsid w:val="00A931B9"/>
    <w:rsid w:val="00AA25E2"/>
    <w:rsid w:val="00AA577F"/>
    <w:rsid w:val="00AB05A8"/>
    <w:rsid w:val="00AB0A63"/>
    <w:rsid w:val="00AB144A"/>
    <w:rsid w:val="00AB2C98"/>
    <w:rsid w:val="00AB34C1"/>
    <w:rsid w:val="00AB4341"/>
    <w:rsid w:val="00AB462F"/>
    <w:rsid w:val="00AB4D7D"/>
    <w:rsid w:val="00AB5A38"/>
    <w:rsid w:val="00AC0064"/>
    <w:rsid w:val="00AC0878"/>
    <w:rsid w:val="00AC4D63"/>
    <w:rsid w:val="00AC4E87"/>
    <w:rsid w:val="00AC7406"/>
    <w:rsid w:val="00AD17FE"/>
    <w:rsid w:val="00AD1DCD"/>
    <w:rsid w:val="00AD21C3"/>
    <w:rsid w:val="00AD240B"/>
    <w:rsid w:val="00AD3422"/>
    <w:rsid w:val="00AD54A8"/>
    <w:rsid w:val="00AD6660"/>
    <w:rsid w:val="00AE21AA"/>
    <w:rsid w:val="00AE476A"/>
    <w:rsid w:val="00AE5670"/>
    <w:rsid w:val="00AF19FF"/>
    <w:rsid w:val="00AF320D"/>
    <w:rsid w:val="00AF3E6B"/>
    <w:rsid w:val="00AF412C"/>
    <w:rsid w:val="00AF41EB"/>
    <w:rsid w:val="00AF6C68"/>
    <w:rsid w:val="00B05912"/>
    <w:rsid w:val="00B0619B"/>
    <w:rsid w:val="00B06516"/>
    <w:rsid w:val="00B07CF3"/>
    <w:rsid w:val="00B10A16"/>
    <w:rsid w:val="00B10DD9"/>
    <w:rsid w:val="00B11B29"/>
    <w:rsid w:val="00B11F99"/>
    <w:rsid w:val="00B1271D"/>
    <w:rsid w:val="00B12865"/>
    <w:rsid w:val="00B14D30"/>
    <w:rsid w:val="00B207E5"/>
    <w:rsid w:val="00B2112D"/>
    <w:rsid w:val="00B21754"/>
    <w:rsid w:val="00B25F0F"/>
    <w:rsid w:val="00B27B26"/>
    <w:rsid w:val="00B27D9A"/>
    <w:rsid w:val="00B27F42"/>
    <w:rsid w:val="00B31931"/>
    <w:rsid w:val="00B31C98"/>
    <w:rsid w:val="00B32646"/>
    <w:rsid w:val="00B33367"/>
    <w:rsid w:val="00B33D6D"/>
    <w:rsid w:val="00B34D53"/>
    <w:rsid w:val="00B357DA"/>
    <w:rsid w:val="00B36B84"/>
    <w:rsid w:val="00B36F08"/>
    <w:rsid w:val="00B3753C"/>
    <w:rsid w:val="00B44C0C"/>
    <w:rsid w:val="00B46B77"/>
    <w:rsid w:val="00B47DD7"/>
    <w:rsid w:val="00B519CE"/>
    <w:rsid w:val="00B52532"/>
    <w:rsid w:val="00B531F9"/>
    <w:rsid w:val="00B535DA"/>
    <w:rsid w:val="00B53C10"/>
    <w:rsid w:val="00B5571C"/>
    <w:rsid w:val="00B568FA"/>
    <w:rsid w:val="00B60BC8"/>
    <w:rsid w:val="00B61CF9"/>
    <w:rsid w:val="00B63EC1"/>
    <w:rsid w:val="00B64AD7"/>
    <w:rsid w:val="00B650B5"/>
    <w:rsid w:val="00B662A4"/>
    <w:rsid w:val="00B66408"/>
    <w:rsid w:val="00B66ABB"/>
    <w:rsid w:val="00B70B01"/>
    <w:rsid w:val="00B71466"/>
    <w:rsid w:val="00B73246"/>
    <w:rsid w:val="00B74152"/>
    <w:rsid w:val="00B748F8"/>
    <w:rsid w:val="00B754F1"/>
    <w:rsid w:val="00B82081"/>
    <w:rsid w:val="00B82348"/>
    <w:rsid w:val="00B828C1"/>
    <w:rsid w:val="00B82BDB"/>
    <w:rsid w:val="00B8383A"/>
    <w:rsid w:val="00B83DF8"/>
    <w:rsid w:val="00B848D5"/>
    <w:rsid w:val="00B85939"/>
    <w:rsid w:val="00B87033"/>
    <w:rsid w:val="00B8752E"/>
    <w:rsid w:val="00B92FC2"/>
    <w:rsid w:val="00B956B7"/>
    <w:rsid w:val="00B964A2"/>
    <w:rsid w:val="00B96A9F"/>
    <w:rsid w:val="00BA1AC7"/>
    <w:rsid w:val="00BA29A3"/>
    <w:rsid w:val="00BA2C09"/>
    <w:rsid w:val="00BA6E08"/>
    <w:rsid w:val="00BA71D6"/>
    <w:rsid w:val="00BB18AF"/>
    <w:rsid w:val="00BB200A"/>
    <w:rsid w:val="00BB4B9C"/>
    <w:rsid w:val="00BB4CE2"/>
    <w:rsid w:val="00BB5C8D"/>
    <w:rsid w:val="00BB5F84"/>
    <w:rsid w:val="00BB6791"/>
    <w:rsid w:val="00BB74DC"/>
    <w:rsid w:val="00BC01A0"/>
    <w:rsid w:val="00BC0BD7"/>
    <w:rsid w:val="00BC1F7B"/>
    <w:rsid w:val="00BC606C"/>
    <w:rsid w:val="00BD02B2"/>
    <w:rsid w:val="00BD1EA8"/>
    <w:rsid w:val="00BD5C94"/>
    <w:rsid w:val="00BD6318"/>
    <w:rsid w:val="00BE0EDB"/>
    <w:rsid w:val="00BE252D"/>
    <w:rsid w:val="00BE25C2"/>
    <w:rsid w:val="00BE2B99"/>
    <w:rsid w:val="00BE4E4C"/>
    <w:rsid w:val="00BE76CE"/>
    <w:rsid w:val="00BF04A6"/>
    <w:rsid w:val="00BF2388"/>
    <w:rsid w:val="00BF38C1"/>
    <w:rsid w:val="00BF4301"/>
    <w:rsid w:val="00BF43ED"/>
    <w:rsid w:val="00BF7A0D"/>
    <w:rsid w:val="00BF7CBB"/>
    <w:rsid w:val="00C02F07"/>
    <w:rsid w:val="00C03C04"/>
    <w:rsid w:val="00C0507B"/>
    <w:rsid w:val="00C050CF"/>
    <w:rsid w:val="00C058B2"/>
    <w:rsid w:val="00C06A07"/>
    <w:rsid w:val="00C06FD6"/>
    <w:rsid w:val="00C075A0"/>
    <w:rsid w:val="00C10830"/>
    <w:rsid w:val="00C10F19"/>
    <w:rsid w:val="00C12F4D"/>
    <w:rsid w:val="00C1334B"/>
    <w:rsid w:val="00C14EA2"/>
    <w:rsid w:val="00C15CF8"/>
    <w:rsid w:val="00C1658F"/>
    <w:rsid w:val="00C21815"/>
    <w:rsid w:val="00C21DF2"/>
    <w:rsid w:val="00C234BF"/>
    <w:rsid w:val="00C2411C"/>
    <w:rsid w:val="00C2422F"/>
    <w:rsid w:val="00C24AC3"/>
    <w:rsid w:val="00C25036"/>
    <w:rsid w:val="00C30C44"/>
    <w:rsid w:val="00C30E73"/>
    <w:rsid w:val="00C316D4"/>
    <w:rsid w:val="00C3194D"/>
    <w:rsid w:val="00C320EF"/>
    <w:rsid w:val="00C327A1"/>
    <w:rsid w:val="00C355E3"/>
    <w:rsid w:val="00C35E0A"/>
    <w:rsid w:val="00C425D2"/>
    <w:rsid w:val="00C44CEE"/>
    <w:rsid w:val="00C454A7"/>
    <w:rsid w:val="00C4604B"/>
    <w:rsid w:val="00C46D61"/>
    <w:rsid w:val="00C4728E"/>
    <w:rsid w:val="00C47500"/>
    <w:rsid w:val="00C51B76"/>
    <w:rsid w:val="00C54E6C"/>
    <w:rsid w:val="00C55DB7"/>
    <w:rsid w:val="00C56B10"/>
    <w:rsid w:val="00C56B38"/>
    <w:rsid w:val="00C600D3"/>
    <w:rsid w:val="00C63DD1"/>
    <w:rsid w:val="00C6407A"/>
    <w:rsid w:val="00C6407B"/>
    <w:rsid w:val="00C65207"/>
    <w:rsid w:val="00C661AD"/>
    <w:rsid w:val="00C70880"/>
    <w:rsid w:val="00C73217"/>
    <w:rsid w:val="00C7515D"/>
    <w:rsid w:val="00C77B83"/>
    <w:rsid w:val="00C80280"/>
    <w:rsid w:val="00C8045F"/>
    <w:rsid w:val="00C81184"/>
    <w:rsid w:val="00C81A7A"/>
    <w:rsid w:val="00C8265A"/>
    <w:rsid w:val="00C82BEB"/>
    <w:rsid w:val="00C846D9"/>
    <w:rsid w:val="00C85648"/>
    <w:rsid w:val="00C86381"/>
    <w:rsid w:val="00C904C7"/>
    <w:rsid w:val="00C91721"/>
    <w:rsid w:val="00C91C7B"/>
    <w:rsid w:val="00C936E0"/>
    <w:rsid w:val="00C95168"/>
    <w:rsid w:val="00C95563"/>
    <w:rsid w:val="00CA1731"/>
    <w:rsid w:val="00CA2BC5"/>
    <w:rsid w:val="00CA2F5D"/>
    <w:rsid w:val="00CA32FF"/>
    <w:rsid w:val="00CA3720"/>
    <w:rsid w:val="00CA64BF"/>
    <w:rsid w:val="00CA6C4E"/>
    <w:rsid w:val="00CA7CD6"/>
    <w:rsid w:val="00CA7D5A"/>
    <w:rsid w:val="00CB1398"/>
    <w:rsid w:val="00CB1E66"/>
    <w:rsid w:val="00CB5C2E"/>
    <w:rsid w:val="00CB74A9"/>
    <w:rsid w:val="00CB755D"/>
    <w:rsid w:val="00CC069D"/>
    <w:rsid w:val="00CC12B2"/>
    <w:rsid w:val="00CC3019"/>
    <w:rsid w:val="00CC41D6"/>
    <w:rsid w:val="00CC51D9"/>
    <w:rsid w:val="00CC6002"/>
    <w:rsid w:val="00CC75EF"/>
    <w:rsid w:val="00CC77C2"/>
    <w:rsid w:val="00CD05DC"/>
    <w:rsid w:val="00CD53E2"/>
    <w:rsid w:val="00CE0428"/>
    <w:rsid w:val="00CE0C2C"/>
    <w:rsid w:val="00CE2E64"/>
    <w:rsid w:val="00CE3C26"/>
    <w:rsid w:val="00CE4FC5"/>
    <w:rsid w:val="00CE7CA0"/>
    <w:rsid w:val="00CF0615"/>
    <w:rsid w:val="00CF1971"/>
    <w:rsid w:val="00CF4320"/>
    <w:rsid w:val="00CF4AE1"/>
    <w:rsid w:val="00CF535A"/>
    <w:rsid w:val="00CF59EF"/>
    <w:rsid w:val="00CF5F32"/>
    <w:rsid w:val="00CF74EF"/>
    <w:rsid w:val="00D01308"/>
    <w:rsid w:val="00D01836"/>
    <w:rsid w:val="00D0288D"/>
    <w:rsid w:val="00D05C2F"/>
    <w:rsid w:val="00D07156"/>
    <w:rsid w:val="00D11AD2"/>
    <w:rsid w:val="00D11BD3"/>
    <w:rsid w:val="00D138BF"/>
    <w:rsid w:val="00D14414"/>
    <w:rsid w:val="00D1487E"/>
    <w:rsid w:val="00D148F8"/>
    <w:rsid w:val="00D1599A"/>
    <w:rsid w:val="00D165EA"/>
    <w:rsid w:val="00D17757"/>
    <w:rsid w:val="00D17E38"/>
    <w:rsid w:val="00D2078E"/>
    <w:rsid w:val="00D243EC"/>
    <w:rsid w:val="00D247CC"/>
    <w:rsid w:val="00D24953"/>
    <w:rsid w:val="00D2678C"/>
    <w:rsid w:val="00D27A18"/>
    <w:rsid w:val="00D325D1"/>
    <w:rsid w:val="00D33060"/>
    <w:rsid w:val="00D330FE"/>
    <w:rsid w:val="00D33613"/>
    <w:rsid w:val="00D33DB1"/>
    <w:rsid w:val="00D3472D"/>
    <w:rsid w:val="00D40DFE"/>
    <w:rsid w:val="00D41C9C"/>
    <w:rsid w:val="00D443CB"/>
    <w:rsid w:val="00D45191"/>
    <w:rsid w:val="00D47700"/>
    <w:rsid w:val="00D531BF"/>
    <w:rsid w:val="00D5444E"/>
    <w:rsid w:val="00D548B3"/>
    <w:rsid w:val="00D54EE7"/>
    <w:rsid w:val="00D55310"/>
    <w:rsid w:val="00D564B6"/>
    <w:rsid w:val="00D60831"/>
    <w:rsid w:val="00D6157E"/>
    <w:rsid w:val="00D631CA"/>
    <w:rsid w:val="00D639CC"/>
    <w:rsid w:val="00D639FF"/>
    <w:rsid w:val="00D67564"/>
    <w:rsid w:val="00D701AD"/>
    <w:rsid w:val="00D70940"/>
    <w:rsid w:val="00D712CE"/>
    <w:rsid w:val="00D713B8"/>
    <w:rsid w:val="00D76A06"/>
    <w:rsid w:val="00D81439"/>
    <w:rsid w:val="00D81B9C"/>
    <w:rsid w:val="00D81DD6"/>
    <w:rsid w:val="00D84036"/>
    <w:rsid w:val="00D8567D"/>
    <w:rsid w:val="00D86568"/>
    <w:rsid w:val="00D9029F"/>
    <w:rsid w:val="00D91516"/>
    <w:rsid w:val="00D9288E"/>
    <w:rsid w:val="00D92961"/>
    <w:rsid w:val="00D92BEE"/>
    <w:rsid w:val="00D92F69"/>
    <w:rsid w:val="00D9301F"/>
    <w:rsid w:val="00D93291"/>
    <w:rsid w:val="00D942B2"/>
    <w:rsid w:val="00D94A91"/>
    <w:rsid w:val="00DA666F"/>
    <w:rsid w:val="00DB0127"/>
    <w:rsid w:val="00DB1FBC"/>
    <w:rsid w:val="00DB3CE9"/>
    <w:rsid w:val="00DB4A30"/>
    <w:rsid w:val="00DB4D66"/>
    <w:rsid w:val="00DB5613"/>
    <w:rsid w:val="00DB5DF5"/>
    <w:rsid w:val="00DB7984"/>
    <w:rsid w:val="00DC044A"/>
    <w:rsid w:val="00DC0547"/>
    <w:rsid w:val="00DC1D7A"/>
    <w:rsid w:val="00DC3D0B"/>
    <w:rsid w:val="00DC5AF2"/>
    <w:rsid w:val="00DC5EF2"/>
    <w:rsid w:val="00DC7C85"/>
    <w:rsid w:val="00DD0216"/>
    <w:rsid w:val="00DD1C59"/>
    <w:rsid w:val="00DD27DF"/>
    <w:rsid w:val="00DD2BCA"/>
    <w:rsid w:val="00DD2EA2"/>
    <w:rsid w:val="00DD4D63"/>
    <w:rsid w:val="00DD6632"/>
    <w:rsid w:val="00DE031B"/>
    <w:rsid w:val="00DE1878"/>
    <w:rsid w:val="00DE1DA6"/>
    <w:rsid w:val="00DE2FAA"/>
    <w:rsid w:val="00DE51FE"/>
    <w:rsid w:val="00DE52AC"/>
    <w:rsid w:val="00DE532E"/>
    <w:rsid w:val="00DE613C"/>
    <w:rsid w:val="00DE6DE2"/>
    <w:rsid w:val="00DE7371"/>
    <w:rsid w:val="00DF0DD3"/>
    <w:rsid w:val="00DF1191"/>
    <w:rsid w:val="00DF2327"/>
    <w:rsid w:val="00DF4443"/>
    <w:rsid w:val="00E00815"/>
    <w:rsid w:val="00E02FEB"/>
    <w:rsid w:val="00E0384C"/>
    <w:rsid w:val="00E03ECF"/>
    <w:rsid w:val="00E05293"/>
    <w:rsid w:val="00E07370"/>
    <w:rsid w:val="00E076E9"/>
    <w:rsid w:val="00E10FD2"/>
    <w:rsid w:val="00E11D6A"/>
    <w:rsid w:val="00E1274F"/>
    <w:rsid w:val="00E14A4F"/>
    <w:rsid w:val="00E14C48"/>
    <w:rsid w:val="00E15EE9"/>
    <w:rsid w:val="00E167CC"/>
    <w:rsid w:val="00E17DF5"/>
    <w:rsid w:val="00E2140A"/>
    <w:rsid w:val="00E224F5"/>
    <w:rsid w:val="00E22787"/>
    <w:rsid w:val="00E230C3"/>
    <w:rsid w:val="00E23B20"/>
    <w:rsid w:val="00E243B6"/>
    <w:rsid w:val="00E24672"/>
    <w:rsid w:val="00E25587"/>
    <w:rsid w:val="00E26BE4"/>
    <w:rsid w:val="00E27C49"/>
    <w:rsid w:val="00E27FFB"/>
    <w:rsid w:val="00E3537D"/>
    <w:rsid w:val="00E3546D"/>
    <w:rsid w:val="00E36908"/>
    <w:rsid w:val="00E3737F"/>
    <w:rsid w:val="00E40E26"/>
    <w:rsid w:val="00E42B39"/>
    <w:rsid w:val="00E44B7B"/>
    <w:rsid w:val="00E465C6"/>
    <w:rsid w:val="00E4671E"/>
    <w:rsid w:val="00E47918"/>
    <w:rsid w:val="00E50EA2"/>
    <w:rsid w:val="00E51AC6"/>
    <w:rsid w:val="00E542C2"/>
    <w:rsid w:val="00E5541A"/>
    <w:rsid w:val="00E57A4B"/>
    <w:rsid w:val="00E60815"/>
    <w:rsid w:val="00E6084E"/>
    <w:rsid w:val="00E60AA5"/>
    <w:rsid w:val="00E6283E"/>
    <w:rsid w:val="00E630E8"/>
    <w:rsid w:val="00E63461"/>
    <w:rsid w:val="00E6363D"/>
    <w:rsid w:val="00E7227C"/>
    <w:rsid w:val="00E7261A"/>
    <w:rsid w:val="00E73741"/>
    <w:rsid w:val="00E7394C"/>
    <w:rsid w:val="00E74B53"/>
    <w:rsid w:val="00E76901"/>
    <w:rsid w:val="00E806E4"/>
    <w:rsid w:val="00E80CDA"/>
    <w:rsid w:val="00E81370"/>
    <w:rsid w:val="00E818EA"/>
    <w:rsid w:val="00E83383"/>
    <w:rsid w:val="00E847DA"/>
    <w:rsid w:val="00E84B94"/>
    <w:rsid w:val="00E85296"/>
    <w:rsid w:val="00E862E2"/>
    <w:rsid w:val="00E8695A"/>
    <w:rsid w:val="00E875CF"/>
    <w:rsid w:val="00E877FF"/>
    <w:rsid w:val="00E91852"/>
    <w:rsid w:val="00E91D70"/>
    <w:rsid w:val="00E91F28"/>
    <w:rsid w:val="00E97033"/>
    <w:rsid w:val="00EA1815"/>
    <w:rsid w:val="00EA26FC"/>
    <w:rsid w:val="00EA28EB"/>
    <w:rsid w:val="00EA3ECF"/>
    <w:rsid w:val="00EA53E7"/>
    <w:rsid w:val="00EA76D5"/>
    <w:rsid w:val="00EA7860"/>
    <w:rsid w:val="00EB0010"/>
    <w:rsid w:val="00EB0CF7"/>
    <w:rsid w:val="00EB31B8"/>
    <w:rsid w:val="00EB4388"/>
    <w:rsid w:val="00EB622B"/>
    <w:rsid w:val="00EB74A5"/>
    <w:rsid w:val="00EC456C"/>
    <w:rsid w:val="00EC571C"/>
    <w:rsid w:val="00EC5FE4"/>
    <w:rsid w:val="00EC69C4"/>
    <w:rsid w:val="00ED0F4A"/>
    <w:rsid w:val="00ED5A7F"/>
    <w:rsid w:val="00ED6E90"/>
    <w:rsid w:val="00ED7D0B"/>
    <w:rsid w:val="00EE0358"/>
    <w:rsid w:val="00EE0463"/>
    <w:rsid w:val="00EE2275"/>
    <w:rsid w:val="00EE3373"/>
    <w:rsid w:val="00EE63EC"/>
    <w:rsid w:val="00EE7203"/>
    <w:rsid w:val="00EE7991"/>
    <w:rsid w:val="00EF16BC"/>
    <w:rsid w:val="00EF1E17"/>
    <w:rsid w:val="00EF2280"/>
    <w:rsid w:val="00EF30D4"/>
    <w:rsid w:val="00EF4E86"/>
    <w:rsid w:val="00EF597B"/>
    <w:rsid w:val="00EF7E4A"/>
    <w:rsid w:val="00F00B69"/>
    <w:rsid w:val="00F01CED"/>
    <w:rsid w:val="00F0431B"/>
    <w:rsid w:val="00F04876"/>
    <w:rsid w:val="00F071A3"/>
    <w:rsid w:val="00F1096E"/>
    <w:rsid w:val="00F12CD3"/>
    <w:rsid w:val="00F13F89"/>
    <w:rsid w:val="00F14FB9"/>
    <w:rsid w:val="00F14FC1"/>
    <w:rsid w:val="00F157C6"/>
    <w:rsid w:val="00F15DC5"/>
    <w:rsid w:val="00F16237"/>
    <w:rsid w:val="00F166F8"/>
    <w:rsid w:val="00F17AC2"/>
    <w:rsid w:val="00F20707"/>
    <w:rsid w:val="00F20B40"/>
    <w:rsid w:val="00F220AC"/>
    <w:rsid w:val="00F22708"/>
    <w:rsid w:val="00F2392E"/>
    <w:rsid w:val="00F23DA4"/>
    <w:rsid w:val="00F30752"/>
    <w:rsid w:val="00F31012"/>
    <w:rsid w:val="00F3151F"/>
    <w:rsid w:val="00F322B4"/>
    <w:rsid w:val="00F325AA"/>
    <w:rsid w:val="00F32D2A"/>
    <w:rsid w:val="00F34A9B"/>
    <w:rsid w:val="00F36682"/>
    <w:rsid w:val="00F377ED"/>
    <w:rsid w:val="00F43E6C"/>
    <w:rsid w:val="00F47414"/>
    <w:rsid w:val="00F47F43"/>
    <w:rsid w:val="00F505E9"/>
    <w:rsid w:val="00F50A9C"/>
    <w:rsid w:val="00F51191"/>
    <w:rsid w:val="00F52858"/>
    <w:rsid w:val="00F52A37"/>
    <w:rsid w:val="00F5595A"/>
    <w:rsid w:val="00F56FA6"/>
    <w:rsid w:val="00F573FC"/>
    <w:rsid w:val="00F6056B"/>
    <w:rsid w:val="00F63554"/>
    <w:rsid w:val="00F6459E"/>
    <w:rsid w:val="00F6650C"/>
    <w:rsid w:val="00F67804"/>
    <w:rsid w:val="00F70347"/>
    <w:rsid w:val="00F7165B"/>
    <w:rsid w:val="00F725AC"/>
    <w:rsid w:val="00F73E39"/>
    <w:rsid w:val="00F74C32"/>
    <w:rsid w:val="00F753FF"/>
    <w:rsid w:val="00F76784"/>
    <w:rsid w:val="00F76793"/>
    <w:rsid w:val="00F770CC"/>
    <w:rsid w:val="00F80806"/>
    <w:rsid w:val="00F86085"/>
    <w:rsid w:val="00F9160A"/>
    <w:rsid w:val="00F9164D"/>
    <w:rsid w:val="00F91F68"/>
    <w:rsid w:val="00F92E73"/>
    <w:rsid w:val="00F9373A"/>
    <w:rsid w:val="00F93F24"/>
    <w:rsid w:val="00F9506C"/>
    <w:rsid w:val="00F9685F"/>
    <w:rsid w:val="00F9769E"/>
    <w:rsid w:val="00FA1630"/>
    <w:rsid w:val="00FA1F19"/>
    <w:rsid w:val="00FA39C4"/>
    <w:rsid w:val="00FA7126"/>
    <w:rsid w:val="00FA796F"/>
    <w:rsid w:val="00FA7BCD"/>
    <w:rsid w:val="00FB0651"/>
    <w:rsid w:val="00FB0B38"/>
    <w:rsid w:val="00FB2028"/>
    <w:rsid w:val="00FB3051"/>
    <w:rsid w:val="00FB3622"/>
    <w:rsid w:val="00FB4C52"/>
    <w:rsid w:val="00FB7C25"/>
    <w:rsid w:val="00FC04C1"/>
    <w:rsid w:val="00FC3A00"/>
    <w:rsid w:val="00FC41FE"/>
    <w:rsid w:val="00FC763C"/>
    <w:rsid w:val="00FD0D49"/>
    <w:rsid w:val="00FD0F67"/>
    <w:rsid w:val="00FD2668"/>
    <w:rsid w:val="00FD2864"/>
    <w:rsid w:val="00FD37E1"/>
    <w:rsid w:val="00FD6B67"/>
    <w:rsid w:val="00FD6E76"/>
    <w:rsid w:val="00FD702A"/>
    <w:rsid w:val="00FE3115"/>
    <w:rsid w:val="00FE34B8"/>
    <w:rsid w:val="00FE4903"/>
    <w:rsid w:val="00FE4BE4"/>
    <w:rsid w:val="00FE4D69"/>
    <w:rsid w:val="00FE6DF0"/>
    <w:rsid w:val="00FE768F"/>
    <w:rsid w:val="00FF0DF9"/>
    <w:rsid w:val="00FF1020"/>
    <w:rsid w:val="00FF1935"/>
    <w:rsid w:val="00FF28B5"/>
    <w:rsid w:val="00FF2D03"/>
    <w:rsid w:val="00FF3313"/>
    <w:rsid w:val="00FF3550"/>
    <w:rsid w:val="00FF3CDE"/>
    <w:rsid w:val="00FF3D5B"/>
    <w:rsid w:val="00FF5AFC"/>
    <w:rsid w:val="00FF7B7D"/>
    <w:rsid w:val="00FF7E46"/>
    <w:rsid w:val="0393A4EB"/>
    <w:rsid w:val="03C6F60B"/>
    <w:rsid w:val="05273CB1"/>
    <w:rsid w:val="069CB4D7"/>
    <w:rsid w:val="087B4A84"/>
    <w:rsid w:val="08C010D6"/>
    <w:rsid w:val="0A7FBC50"/>
    <w:rsid w:val="0B3C0211"/>
    <w:rsid w:val="0DB1F345"/>
    <w:rsid w:val="0F54F478"/>
    <w:rsid w:val="14269299"/>
    <w:rsid w:val="14A1CF2F"/>
    <w:rsid w:val="19FE760B"/>
    <w:rsid w:val="1E762218"/>
    <w:rsid w:val="1F201036"/>
    <w:rsid w:val="2194A9BA"/>
    <w:rsid w:val="23DA0390"/>
    <w:rsid w:val="26EC1485"/>
    <w:rsid w:val="2843E421"/>
    <w:rsid w:val="2BCE1C46"/>
    <w:rsid w:val="2C302DE6"/>
    <w:rsid w:val="2DCC9B5B"/>
    <w:rsid w:val="34BA719F"/>
    <w:rsid w:val="37073ABB"/>
    <w:rsid w:val="37125F60"/>
    <w:rsid w:val="382119BC"/>
    <w:rsid w:val="38631CC1"/>
    <w:rsid w:val="39BB1A72"/>
    <w:rsid w:val="3B861DA0"/>
    <w:rsid w:val="3DA42844"/>
    <w:rsid w:val="3DC2E6C2"/>
    <w:rsid w:val="3F94C28B"/>
    <w:rsid w:val="43F8E16B"/>
    <w:rsid w:val="44D1DD0C"/>
    <w:rsid w:val="48E2FED6"/>
    <w:rsid w:val="49832217"/>
    <w:rsid w:val="49DB6C6B"/>
    <w:rsid w:val="49ED3534"/>
    <w:rsid w:val="4A3270B4"/>
    <w:rsid w:val="4AA29EC0"/>
    <w:rsid w:val="4B33F511"/>
    <w:rsid w:val="4B369C9A"/>
    <w:rsid w:val="522EBC27"/>
    <w:rsid w:val="5608FA97"/>
    <w:rsid w:val="588258AF"/>
    <w:rsid w:val="5ABE821D"/>
    <w:rsid w:val="5CFFB8CF"/>
    <w:rsid w:val="5EF25EB7"/>
    <w:rsid w:val="604D6D0F"/>
    <w:rsid w:val="6138090D"/>
    <w:rsid w:val="62783B3C"/>
    <w:rsid w:val="62882A0A"/>
    <w:rsid w:val="6490DE84"/>
    <w:rsid w:val="693BE54D"/>
    <w:rsid w:val="696248C8"/>
    <w:rsid w:val="6AB1C67A"/>
    <w:rsid w:val="6D6C005D"/>
    <w:rsid w:val="6DFF5AD6"/>
    <w:rsid w:val="6ED9AEA4"/>
    <w:rsid w:val="7020EA35"/>
    <w:rsid w:val="74A585BF"/>
    <w:rsid w:val="773C66CB"/>
    <w:rsid w:val="78009272"/>
    <w:rsid w:val="7B4556D4"/>
    <w:rsid w:val="7F91A5BF"/>
    <w:rsid w:val="7FA410FF"/>
    <w:rsid w:val="7FDE8C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589E12"/>
  <w14:defaultImageDpi w14:val="96"/>
  <w15:docId w15:val="{F91FCE2A-05D1-4356-93DE-950615D7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C90"/>
    <w:pPr>
      <w:spacing w:after="200" w:line="276" w:lineRule="auto"/>
    </w:pPr>
    <w:rPr>
      <w:rFonts w:cs="Times New Roman"/>
      <w:sz w:val="22"/>
      <w:szCs w:val="22"/>
    </w:rPr>
  </w:style>
  <w:style w:type="paragraph" w:styleId="Heading1">
    <w:name w:val="heading 1"/>
    <w:basedOn w:val="Normal"/>
    <w:next w:val="Normal"/>
    <w:link w:val="Heading1Char"/>
    <w:uiPriority w:val="9"/>
    <w:qFormat/>
    <w:rsid w:val="00F307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7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47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B2F12"/>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D1C"/>
    <w:pPr>
      <w:tabs>
        <w:tab w:val="center" w:pos="4680"/>
        <w:tab w:val="right" w:pos="9360"/>
      </w:tabs>
    </w:pPr>
  </w:style>
  <w:style w:type="character" w:customStyle="1" w:styleId="HeaderChar">
    <w:name w:val="Header Char"/>
    <w:basedOn w:val="DefaultParagraphFont"/>
    <w:link w:val="Header"/>
    <w:uiPriority w:val="99"/>
    <w:locked/>
    <w:rsid w:val="003B2D1C"/>
    <w:rPr>
      <w:rFonts w:eastAsia="Times New Roman" w:cs="Times New Roman"/>
    </w:rPr>
  </w:style>
  <w:style w:type="paragraph" w:styleId="Footer">
    <w:name w:val="footer"/>
    <w:basedOn w:val="Normal"/>
    <w:link w:val="FooterChar"/>
    <w:uiPriority w:val="99"/>
    <w:unhideWhenUsed/>
    <w:rsid w:val="003B2D1C"/>
    <w:pPr>
      <w:tabs>
        <w:tab w:val="center" w:pos="4680"/>
        <w:tab w:val="right" w:pos="9360"/>
      </w:tabs>
    </w:pPr>
  </w:style>
  <w:style w:type="character" w:customStyle="1" w:styleId="FooterChar">
    <w:name w:val="Footer Char"/>
    <w:basedOn w:val="DefaultParagraphFont"/>
    <w:link w:val="Footer"/>
    <w:uiPriority w:val="99"/>
    <w:locked/>
    <w:rsid w:val="003B2D1C"/>
    <w:rPr>
      <w:rFonts w:eastAsia="Times New Roman" w:cs="Times New Roman"/>
    </w:rPr>
  </w:style>
  <w:style w:type="paragraph" w:styleId="FootnoteText">
    <w:name w:val="footnote text"/>
    <w:basedOn w:val="Normal"/>
    <w:link w:val="FootnoteTextChar"/>
    <w:uiPriority w:val="99"/>
    <w:unhideWhenUsed/>
    <w:rsid w:val="003B2D1C"/>
    <w:rPr>
      <w:sz w:val="20"/>
      <w:szCs w:val="20"/>
    </w:rPr>
  </w:style>
  <w:style w:type="character" w:customStyle="1" w:styleId="FootnoteTextChar">
    <w:name w:val="Footnote Text Char"/>
    <w:basedOn w:val="DefaultParagraphFont"/>
    <w:link w:val="FootnoteText"/>
    <w:uiPriority w:val="99"/>
    <w:locked/>
    <w:rsid w:val="003B2D1C"/>
    <w:rPr>
      <w:rFonts w:eastAsia="Times New Roman" w:cs="Times New Roman"/>
      <w:sz w:val="20"/>
    </w:rPr>
  </w:style>
  <w:style w:type="character" w:styleId="FootnoteReference">
    <w:name w:val="footnote reference"/>
    <w:basedOn w:val="DefaultParagraphFont"/>
    <w:uiPriority w:val="99"/>
    <w:unhideWhenUsed/>
    <w:rsid w:val="003B2D1C"/>
    <w:rPr>
      <w:rFonts w:cs="Times New Roman"/>
      <w:vertAlign w:val="superscript"/>
    </w:rPr>
  </w:style>
  <w:style w:type="paragraph" w:styleId="BalloonText">
    <w:name w:val="Balloon Text"/>
    <w:basedOn w:val="Normal"/>
    <w:link w:val="BalloonTextChar"/>
    <w:uiPriority w:val="99"/>
    <w:semiHidden/>
    <w:unhideWhenUsed/>
    <w:rsid w:val="006B0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0251"/>
    <w:rPr>
      <w:rFonts w:ascii="Tahoma" w:hAnsi="Tahoma" w:cs="Times New Roman"/>
      <w:sz w:val="16"/>
    </w:rPr>
  </w:style>
  <w:style w:type="character" w:styleId="CommentReference">
    <w:name w:val="annotation reference"/>
    <w:basedOn w:val="DefaultParagraphFont"/>
    <w:uiPriority w:val="99"/>
    <w:semiHidden/>
    <w:unhideWhenUsed/>
    <w:rsid w:val="00BA71D6"/>
    <w:rPr>
      <w:rFonts w:cs="Times New Roman"/>
      <w:sz w:val="16"/>
      <w:szCs w:val="16"/>
    </w:rPr>
  </w:style>
  <w:style w:type="paragraph" w:styleId="CommentText">
    <w:name w:val="annotation text"/>
    <w:basedOn w:val="Normal"/>
    <w:link w:val="CommentTextChar"/>
    <w:uiPriority w:val="99"/>
    <w:semiHidden/>
    <w:unhideWhenUsed/>
    <w:rsid w:val="00BA71D6"/>
    <w:rPr>
      <w:sz w:val="20"/>
      <w:szCs w:val="20"/>
    </w:rPr>
  </w:style>
  <w:style w:type="character" w:customStyle="1" w:styleId="CommentTextChar">
    <w:name w:val="Comment Text Char"/>
    <w:basedOn w:val="DefaultParagraphFont"/>
    <w:link w:val="CommentText"/>
    <w:uiPriority w:val="99"/>
    <w:semiHidden/>
    <w:locked/>
    <w:rsid w:val="00BA71D6"/>
    <w:rPr>
      <w:rFonts w:cs="Times New Roman"/>
    </w:rPr>
  </w:style>
  <w:style w:type="paragraph" w:styleId="CommentSubject">
    <w:name w:val="annotation subject"/>
    <w:basedOn w:val="CommentText"/>
    <w:next w:val="CommentText"/>
    <w:link w:val="CommentSubjectChar"/>
    <w:uiPriority w:val="99"/>
    <w:semiHidden/>
    <w:unhideWhenUsed/>
    <w:rsid w:val="00BA71D6"/>
    <w:rPr>
      <w:b/>
      <w:bCs/>
    </w:rPr>
  </w:style>
  <w:style w:type="character" w:customStyle="1" w:styleId="CommentSubjectChar">
    <w:name w:val="Comment Subject Char"/>
    <w:basedOn w:val="CommentTextChar"/>
    <w:link w:val="CommentSubject"/>
    <w:uiPriority w:val="99"/>
    <w:semiHidden/>
    <w:locked/>
    <w:rsid w:val="00BA71D6"/>
    <w:rPr>
      <w:rFonts w:cs="Times New Roman"/>
      <w:b/>
      <w:bCs/>
    </w:rPr>
  </w:style>
  <w:style w:type="table" w:styleId="TableGrid">
    <w:name w:val="Table Grid"/>
    <w:basedOn w:val="TableNormal"/>
    <w:uiPriority w:val="39"/>
    <w:rsid w:val="005C1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E42"/>
    <w:pPr>
      <w:ind w:left="720"/>
      <w:contextualSpacing/>
    </w:pPr>
  </w:style>
  <w:style w:type="character" w:customStyle="1" w:styleId="Heading1Char">
    <w:name w:val="Heading 1 Char"/>
    <w:basedOn w:val="DefaultParagraphFont"/>
    <w:link w:val="Heading1"/>
    <w:uiPriority w:val="9"/>
    <w:rsid w:val="00F307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30752"/>
    <w:pPr>
      <w:spacing w:line="259" w:lineRule="auto"/>
      <w:outlineLvl w:val="9"/>
    </w:pPr>
  </w:style>
  <w:style w:type="paragraph" w:styleId="TOC1">
    <w:name w:val="toc 1"/>
    <w:basedOn w:val="Normal"/>
    <w:next w:val="Normal"/>
    <w:autoRedefine/>
    <w:uiPriority w:val="39"/>
    <w:unhideWhenUsed/>
    <w:rsid w:val="00F30752"/>
    <w:pPr>
      <w:spacing w:after="100"/>
    </w:pPr>
  </w:style>
  <w:style w:type="paragraph" w:styleId="TOC2">
    <w:name w:val="toc 2"/>
    <w:basedOn w:val="Normal"/>
    <w:next w:val="Normal"/>
    <w:autoRedefine/>
    <w:uiPriority w:val="39"/>
    <w:unhideWhenUsed/>
    <w:rsid w:val="00FF7E46"/>
    <w:pPr>
      <w:tabs>
        <w:tab w:val="right" w:leader="dot" w:pos="10070"/>
      </w:tabs>
      <w:spacing w:after="0" w:line="240" w:lineRule="auto"/>
      <w:ind w:left="216"/>
    </w:pPr>
  </w:style>
  <w:style w:type="paragraph" w:styleId="TOC3">
    <w:name w:val="toc 3"/>
    <w:basedOn w:val="Normal"/>
    <w:next w:val="Normal"/>
    <w:autoRedefine/>
    <w:uiPriority w:val="39"/>
    <w:unhideWhenUsed/>
    <w:rsid w:val="00F30752"/>
    <w:pPr>
      <w:spacing w:after="100"/>
      <w:ind w:left="440"/>
    </w:pPr>
  </w:style>
  <w:style w:type="character" w:styleId="Hyperlink">
    <w:name w:val="Hyperlink"/>
    <w:basedOn w:val="DefaultParagraphFont"/>
    <w:uiPriority w:val="99"/>
    <w:unhideWhenUsed/>
    <w:rsid w:val="00F30752"/>
    <w:rPr>
      <w:color w:val="0000FF" w:themeColor="hyperlink"/>
      <w:u w:val="single"/>
    </w:rPr>
  </w:style>
  <w:style w:type="table" w:customStyle="1" w:styleId="TableGrid1">
    <w:name w:val="Table Grid1"/>
    <w:basedOn w:val="TableNormal"/>
    <w:next w:val="TableGrid"/>
    <w:uiPriority w:val="39"/>
    <w:rsid w:val="00F3075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3030"/>
    <w:pPr>
      <w:autoSpaceDE w:val="0"/>
      <w:autoSpaceDN w:val="0"/>
      <w:adjustRightInd w:val="0"/>
    </w:pPr>
    <w:rPr>
      <w:rFonts w:ascii="Times New Roman" w:eastAsia="Calibri" w:hAnsi="Times New Roman" w:cs="Times New Roman"/>
      <w:color w:val="000000"/>
      <w:sz w:val="24"/>
      <w:szCs w:val="24"/>
    </w:rPr>
  </w:style>
  <w:style w:type="paragraph" w:styleId="Revision">
    <w:name w:val="Revision"/>
    <w:hidden/>
    <w:uiPriority w:val="99"/>
    <w:semiHidden/>
    <w:rsid w:val="007E4DE5"/>
    <w:rPr>
      <w:rFonts w:cs="Times New Roman"/>
      <w:sz w:val="22"/>
      <w:szCs w:val="22"/>
    </w:rPr>
  </w:style>
  <w:style w:type="character" w:styleId="FollowedHyperlink">
    <w:name w:val="FollowedHyperlink"/>
    <w:basedOn w:val="DefaultParagraphFont"/>
    <w:uiPriority w:val="99"/>
    <w:semiHidden/>
    <w:unhideWhenUsed/>
    <w:rsid w:val="008B7112"/>
    <w:rPr>
      <w:color w:val="800080" w:themeColor="followedHyperlink"/>
      <w:u w:val="single"/>
    </w:rPr>
  </w:style>
  <w:style w:type="character" w:styleId="PageNumber">
    <w:name w:val="page number"/>
    <w:basedOn w:val="DefaultParagraphFont"/>
    <w:uiPriority w:val="99"/>
    <w:semiHidden/>
    <w:unhideWhenUsed/>
    <w:rsid w:val="002B3FC4"/>
  </w:style>
  <w:style w:type="paragraph" w:styleId="NoSpacing">
    <w:name w:val="No Spacing"/>
    <w:uiPriority w:val="1"/>
    <w:qFormat/>
    <w:rsid w:val="00813F47"/>
    <w:rPr>
      <w:rFonts w:asciiTheme="minorHAnsi" w:eastAsiaTheme="minorHAnsi" w:hAnsiTheme="minorHAnsi" w:cstheme="minorBidi"/>
      <w:sz w:val="24"/>
      <w:szCs w:val="24"/>
    </w:rPr>
  </w:style>
  <w:style w:type="paragraph" w:styleId="BodyText">
    <w:name w:val="Body Text"/>
    <w:basedOn w:val="Normal"/>
    <w:link w:val="BodyTextChar"/>
    <w:uiPriority w:val="1"/>
    <w:qFormat/>
    <w:rsid w:val="00A05CB9"/>
    <w:pPr>
      <w:widowControl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A05CB9"/>
    <w:rPr>
      <w:rFonts w:ascii="Tahoma" w:eastAsia="Tahoma" w:hAnsi="Tahoma" w:cs="Tahoma"/>
    </w:rPr>
  </w:style>
  <w:style w:type="character" w:customStyle="1" w:styleId="Heading4Char">
    <w:name w:val="Heading 4 Char"/>
    <w:basedOn w:val="DefaultParagraphFont"/>
    <w:link w:val="Heading4"/>
    <w:uiPriority w:val="9"/>
    <w:semiHidden/>
    <w:rsid w:val="009B2F12"/>
    <w:rPr>
      <w:rFonts w:asciiTheme="majorHAnsi" w:eastAsiaTheme="majorEastAsia" w:hAnsiTheme="majorHAnsi" w:cstheme="majorBidi"/>
      <w:i/>
      <w:iCs/>
      <w:color w:val="365F91" w:themeColor="accent1" w:themeShade="BF"/>
      <w:sz w:val="24"/>
      <w:szCs w:val="24"/>
      <w:lang w:eastAsia="zh-CN"/>
    </w:rPr>
  </w:style>
  <w:style w:type="table" w:styleId="LightShading-Accent5">
    <w:name w:val="Light Shading Accent 5"/>
    <w:basedOn w:val="TableNormal"/>
    <w:uiPriority w:val="60"/>
    <w:rsid w:val="009B2F12"/>
    <w:rPr>
      <w:rFonts w:ascii="Times New Roman" w:eastAsia="Calibri" w:hAnsi="Times New Roman"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Bullet2">
    <w:name w:val="List Bullet 2"/>
    <w:basedOn w:val="Normal"/>
    <w:uiPriority w:val="99"/>
    <w:unhideWhenUsed/>
    <w:rsid w:val="009472CF"/>
    <w:pPr>
      <w:spacing w:after="0" w:line="240" w:lineRule="auto"/>
      <w:contextualSpacing/>
    </w:pPr>
    <w:rPr>
      <w:rFonts w:ascii="Times New Roman" w:eastAsia="Calibri" w:hAnsi="Times New Roman"/>
      <w:sz w:val="24"/>
      <w:szCs w:val="24"/>
      <w:lang w:eastAsia="zh-CN"/>
    </w:rPr>
  </w:style>
  <w:style w:type="character" w:customStyle="1" w:styleId="Heading2Char">
    <w:name w:val="Heading 2 Char"/>
    <w:basedOn w:val="DefaultParagraphFont"/>
    <w:link w:val="Heading2"/>
    <w:uiPriority w:val="9"/>
    <w:rsid w:val="00E847D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847DA"/>
    <w:rPr>
      <w:rFonts w:asciiTheme="majorHAnsi" w:eastAsiaTheme="majorEastAsia" w:hAnsiTheme="majorHAnsi" w:cstheme="majorBidi"/>
      <w:color w:val="243F60" w:themeColor="accent1" w:themeShade="7F"/>
      <w:sz w:val="24"/>
      <w:szCs w:val="24"/>
    </w:rPr>
  </w:style>
  <w:style w:type="paragraph" w:customStyle="1" w:styleId="font5">
    <w:name w:val="font5"/>
    <w:basedOn w:val="Normal"/>
    <w:rsid w:val="000A38C2"/>
    <w:pPr>
      <w:spacing w:before="100" w:beforeAutospacing="1" w:after="100" w:afterAutospacing="1" w:line="240" w:lineRule="auto"/>
    </w:pPr>
    <w:rPr>
      <w:rFonts w:cs="Calibri"/>
      <w:b/>
      <w:bCs/>
      <w:color w:val="000000"/>
      <w:sz w:val="24"/>
      <w:szCs w:val="24"/>
    </w:rPr>
  </w:style>
  <w:style w:type="paragraph" w:customStyle="1" w:styleId="font6">
    <w:name w:val="font6"/>
    <w:basedOn w:val="Normal"/>
    <w:rsid w:val="000A38C2"/>
    <w:pPr>
      <w:spacing w:before="100" w:beforeAutospacing="1" w:after="100" w:afterAutospacing="1" w:line="240" w:lineRule="auto"/>
    </w:pPr>
    <w:rPr>
      <w:rFonts w:cs="Calibri"/>
      <w:b/>
      <w:bCs/>
      <w:sz w:val="24"/>
      <w:szCs w:val="24"/>
    </w:rPr>
  </w:style>
  <w:style w:type="paragraph" w:customStyle="1" w:styleId="font7">
    <w:name w:val="font7"/>
    <w:basedOn w:val="Normal"/>
    <w:rsid w:val="000A38C2"/>
    <w:pPr>
      <w:spacing w:before="100" w:beforeAutospacing="1" w:after="100" w:afterAutospacing="1" w:line="240" w:lineRule="auto"/>
    </w:pPr>
    <w:rPr>
      <w:rFonts w:cs="Calibri"/>
      <w:color w:val="FF0000"/>
      <w:sz w:val="24"/>
      <w:szCs w:val="24"/>
    </w:rPr>
  </w:style>
  <w:style w:type="paragraph" w:customStyle="1" w:styleId="font8">
    <w:name w:val="font8"/>
    <w:basedOn w:val="Normal"/>
    <w:rsid w:val="000A38C2"/>
    <w:pPr>
      <w:spacing w:before="100" w:beforeAutospacing="1" w:after="100" w:afterAutospacing="1" w:line="240" w:lineRule="auto"/>
    </w:pPr>
    <w:rPr>
      <w:rFonts w:cs="Calibri"/>
      <w:b/>
      <w:bCs/>
      <w:color w:val="FF0000"/>
      <w:sz w:val="24"/>
      <w:szCs w:val="24"/>
    </w:rPr>
  </w:style>
  <w:style w:type="paragraph" w:customStyle="1" w:styleId="font9">
    <w:name w:val="font9"/>
    <w:basedOn w:val="Normal"/>
    <w:rsid w:val="000A38C2"/>
    <w:pPr>
      <w:spacing w:before="100" w:beforeAutospacing="1" w:after="100" w:afterAutospacing="1" w:line="240" w:lineRule="auto"/>
    </w:pPr>
    <w:rPr>
      <w:rFonts w:cs="Calibri"/>
      <w:color w:val="000000"/>
      <w:sz w:val="18"/>
      <w:szCs w:val="18"/>
    </w:rPr>
  </w:style>
  <w:style w:type="paragraph" w:customStyle="1" w:styleId="font10">
    <w:name w:val="font10"/>
    <w:basedOn w:val="Normal"/>
    <w:rsid w:val="000A38C2"/>
    <w:pPr>
      <w:spacing w:before="100" w:beforeAutospacing="1" w:after="100" w:afterAutospacing="1" w:line="240" w:lineRule="auto"/>
    </w:pPr>
    <w:rPr>
      <w:rFonts w:cs="Calibri"/>
      <w:b/>
      <w:bCs/>
      <w:sz w:val="24"/>
      <w:szCs w:val="24"/>
      <w:u w:val="single"/>
    </w:rPr>
  </w:style>
  <w:style w:type="paragraph" w:customStyle="1" w:styleId="font11">
    <w:name w:val="font11"/>
    <w:basedOn w:val="Normal"/>
    <w:rsid w:val="000A38C2"/>
    <w:pPr>
      <w:spacing w:before="100" w:beforeAutospacing="1" w:after="100" w:afterAutospacing="1" w:line="240" w:lineRule="auto"/>
    </w:pPr>
    <w:rPr>
      <w:rFonts w:cs="Calibri"/>
      <w:b/>
      <w:bCs/>
      <w:i/>
      <w:iCs/>
      <w:sz w:val="24"/>
      <w:szCs w:val="24"/>
    </w:rPr>
  </w:style>
  <w:style w:type="paragraph" w:customStyle="1" w:styleId="font12">
    <w:name w:val="font12"/>
    <w:basedOn w:val="Normal"/>
    <w:rsid w:val="000A38C2"/>
    <w:pPr>
      <w:spacing w:before="100" w:beforeAutospacing="1" w:after="100" w:afterAutospacing="1" w:line="240" w:lineRule="auto"/>
    </w:pPr>
    <w:rPr>
      <w:rFonts w:ascii="Wingdings" w:hAnsi="Wingdings"/>
      <w:color w:val="000000"/>
      <w:sz w:val="20"/>
      <w:szCs w:val="20"/>
    </w:rPr>
  </w:style>
  <w:style w:type="paragraph" w:customStyle="1" w:styleId="font13">
    <w:name w:val="font13"/>
    <w:basedOn w:val="Normal"/>
    <w:rsid w:val="000A38C2"/>
    <w:pPr>
      <w:spacing w:before="100" w:beforeAutospacing="1" w:after="100" w:afterAutospacing="1" w:line="240" w:lineRule="auto"/>
    </w:pPr>
    <w:rPr>
      <w:rFonts w:ascii="Webdings" w:hAnsi="Webdings"/>
      <w:color w:val="000000"/>
      <w:sz w:val="20"/>
      <w:szCs w:val="20"/>
    </w:rPr>
  </w:style>
  <w:style w:type="paragraph" w:customStyle="1" w:styleId="xl65">
    <w:name w:val="xl65"/>
    <w:basedOn w:val="Normal"/>
    <w:rsid w:val="000A38C2"/>
    <w:pPr>
      <w:spacing w:before="100" w:beforeAutospacing="1" w:after="100" w:afterAutospacing="1" w:line="240" w:lineRule="auto"/>
      <w:textAlignment w:val="top"/>
    </w:pPr>
    <w:rPr>
      <w:rFonts w:ascii="Times New Roman" w:hAnsi="Times New Roman"/>
      <w:sz w:val="24"/>
      <w:szCs w:val="24"/>
    </w:rPr>
  </w:style>
  <w:style w:type="paragraph" w:customStyle="1" w:styleId="xl66">
    <w:name w:val="xl66"/>
    <w:basedOn w:val="Normal"/>
    <w:rsid w:val="000A38C2"/>
    <w:pP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0A38C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68">
    <w:name w:val="xl68"/>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 w:type="paragraph" w:customStyle="1" w:styleId="xl69">
    <w:name w:val="xl69"/>
    <w:basedOn w:val="Normal"/>
    <w:rsid w:val="000A38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0">
    <w:name w:val="xl70"/>
    <w:basedOn w:val="Normal"/>
    <w:rsid w:val="000A38C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0"/>
      <w:szCs w:val="20"/>
    </w:rPr>
  </w:style>
  <w:style w:type="paragraph" w:customStyle="1" w:styleId="xl71">
    <w:name w:val="xl71"/>
    <w:basedOn w:val="Normal"/>
    <w:rsid w:val="000A38C2"/>
    <w:pPr>
      <w:spacing w:before="100" w:beforeAutospacing="1" w:after="100" w:afterAutospacing="1" w:line="240" w:lineRule="auto"/>
      <w:jc w:val="center"/>
      <w:textAlignment w:val="top"/>
    </w:pPr>
    <w:rPr>
      <w:rFonts w:ascii="Times New Roman" w:hAnsi="Times New Roman"/>
      <w:sz w:val="20"/>
      <w:szCs w:val="20"/>
    </w:rPr>
  </w:style>
  <w:style w:type="paragraph" w:customStyle="1" w:styleId="xl72">
    <w:name w:val="xl72"/>
    <w:basedOn w:val="Normal"/>
    <w:rsid w:val="000A38C2"/>
    <w:pPr>
      <w:spacing w:before="100" w:beforeAutospacing="1" w:after="100" w:afterAutospacing="1" w:line="240" w:lineRule="auto"/>
      <w:jc w:val="center"/>
      <w:textAlignment w:val="top"/>
    </w:pPr>
    <w:rPr>
      <w:rFonts w:ascii="Times New Roman" w:hAnsi="Times New Roman"/>
      <w:sz w:val="20"/>
      <w:szCs w:val="20"/>
    </w:rPr>
  </w:style>
  <w:style w:type="paragraph" w:customStyle="1" w:styleId="xl73">
    <w:name w:val="xl73"/>
    <w:basedOn w:val="Normal"/>
    <w:rsid w:val="000A38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4">
    <w:name w:val="xl74"/>
    <w:basedOn w:val="Normal"/>
    <w:rsid w:val="000A38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5">
    <w:name w:val="xl75"/>
    <w:basedOn w:val="Normal"/>
    <w:rsid w:val="000A38C2"/>
    <w:pPr>
      <w:spacing w:before="100" w:beforeAutospacing="1" w:after="100" w:afterAutospacing="1" w:line="240" w:lineRule="auto"/>
      <w:jc w:val="center"/>
      <w:textAlignment w:val="center"/>
    </w:pPr>
    <w:rPr>
      <w:rFonts w:ascii="Times New Roman" w:hAnsi="Times New Roman"/>
      <w:sz w:val="24"/>
      <w:szCs w:val="24"/>
    </w:rPr>
  </w:style>
  <w:style w:type="paragraph" w:customStyle="1" w:styleId="xl76">
    <w:name w:val="xl76"/>
    <w:basedOn w:val="Normal"/>
    <w:rsid w:val="000A38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Webdings" w:hAnsi="Webdings"/>
      <w:sz w:val="20"/>
      <w:szCs w:val="20"/>
    </w:rPr>
  </w:style>
  <w:style w:type="paragraph" w:customStyle="1" w:styleId="xl78">
    <w:name w:val="xl78"/>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b/>
      <w:bCs/>
      <w:sz w:val="24"/>
      <w:szCs w:val="24"/>
    </w:rPr>
  </w:style>
  <w:style w:type="paragraph" w:customStyle="1" w:styleId="xl79">
    <w:name w:val="xl79"/>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b/>
      <w:bCs/>
      <w:sz w:val="24"/>
      <w:szCs w:val="24"/>
    </w:rPr>
  </w:style>
  <w:style w:type="paragraph" w:customStyle="1" w:styleId="xl80">
    <w:name w:val="xl80"/>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Wingdings" w:hAnsi="Wingdings"/>
      <w:sz w:val="20"/>
      <w:szCs w:val="20"/>
    </w:rPr>
  </w:style>
  <w:style w:type="paragraph" w:customStyle="1" w:styleId="xl81">
    <w:name w:val="xl81"/>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b/>
      <w:bCs/>
      <w:sz w:val="24"/>
      <w:szCs w:val="24"/>
    </w:rPr>
  </w:style>
  <w:style w:type="paragraph" w:customStyle="1" w:styleId="xl82">
    <w:name w:val="xl82"/>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83">
    <w:name w:val="xl83"/>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olor w:val="0070C0"/>
      <w:sz w:val="24"/>
      <w:szCs w:val="24"/>
    </w:rPr>
  </w:style>
  <w:style w:type="paragraph" w:customStyle="1" w:styleId="xl84">
    <w:name w:val="xl84"/>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b/>
      <w:bCs/>
      <w:sz w:val="20"/>
      <w:szCs w:val="20"/>
    </w:rPr>
  </w:style>
  <w:style w:type="paragraph" w:customStyle="1" w:styleId="xl85">
    <w:name w:val="xl85"/>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olor w:val="FF0000"/>
      <w:sz w:val="24"/>
      <w:szCs w:val="24"/>
    </w:rPr>
  </w:style>
  <w:style w:type="paragraph" w:customStyle="1" w:styleId="xl86">
    <w:name w:val="xl86"/>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b/>
      <w:bCs/>
      <w:sz w:val="20"/>
      <w:szCs w:val="20"/>
    </w:rPr>
  </w:style>
  <w:style w:type="paragraph" w:customStyle="1" w:styleId="xl87">
    <w:name w:val="xl87"/>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b/>
      <w:bCs/>
      <w:color w:val="0070C0"/>
      <w:sz w:val="20"/>
      <w:szCs w:val="20"/>
    </w:rPr>
  </w:style>
  <w:style w:type="paragraph" w:customStyle="1" w:styleId="xl88">
    <w:name w:val="xl88"/>
    <w:basedOn w:val="Normal"/>
    <w:rsid w:val="000A38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0"/>
      <w:szCs w:val="20"/>
    </w:rPr>
  </w:style>
  <w:style w:type="paragraph" w:customStyle="1" w:styleId="Body">
    <w:name w:val="Body"/>
    <w:rsid w:val="009B0BBA"/>
    <w:pPr>
      <w:pBdr>
        <w:top w:val="nil"/>
        <w:left w:val="nil"/>
        <w:bottom w:val="nil"/>
        <w:right w:val="nil"/>
        <w:between w:val="nil"/>
        <w:bar w:val="nil"/>
      </w:pBdr>
      <w:spacing w:line="288" w:lineRule="auto"/>
      <w:jc w:val="both"/>
    </w:pPr>
    <w:rPr>
      <w:rFonts w:ascii="Times New Roman" w:hAnsi="Times New Roman" w:cs="Times New Roman"/>
      <w:color w:val="000000"/>
      <w:sz w:val="24"/>
      <w:szCs w:val="24"/>
      <w:bdr w:val="nil"/>
    </w:rPr>
  </w:style>
  <w:style w:type="table" w:styleId="MediumGrid3-Accent1">
    <w:name w:val="Medium Grid 3 Accent 1"/>
    <w:basedOn w:val="TableNormal"/>
    <w:uiPriority w:val="69"/>
    <w:rsid w:val="009B0BBA"/>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11">
    <w:name w:val="Medium Grid 3 - Accent 11"/>
    <w:basedOn w:val="TableNormal"/>
    <w:next w:val="MediumGrid3-Accent1"/>
    <w:uiPriority w:val="69"/>
    <w:rsid w:val="009B0BBA"/>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12">
    <w:name w:val="Medium Grid 3 - Accent 12"/>
    <w:basedOn w:val="TableNormal"/>
    <w:next w:val="MediumGrid3-Accent1"/>
    <w:uiPriority w:val="69"/>
    <w:rsid w:val="009B0BBA"/>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H1">
    <w:name w:val="H1"/>
    <w:basedOn w:val="Normal"/>
    <w:autoRedefine/>
    <w:uiPriority w:val="99"/>
    <w:qFormat/>
    <w:rsid w:val="00CC51D9"/>
    <w:pPr>
      <w:widowControl w:val="0"/>
      <w:tabs>
        <w:tab w:val="left" w:pos="220"/>
        <w:tab w:val="left" w:pos="720"/>
      </w:tabs>
      <w:autoSpaceDE w:val="0"/>
      <w:autoSpaceDN w:val="0"/>
      <w:adjustRightInd w:val="0"/>
      <w:spacing w:after="0" w:line="240" w:lineRule="auto"/>
    </w:pPr>
    <w:rPr>
      <w:rFonts w:eastAsia="SimSun" w:cs="Calibri"/>
      <w:kern w:val="32"/>
      <w:lang w:val="en-GB" w:eastAsia="fr-FR"/>
    </w:rPr>
  </w:style>
  <w:style w:type="paragraph" w:customStyle="1" w:styleId="msotablemediumgrid20">
    <w:name w:val="msotablemediumgrid2"/>
    <w:basedOn w:val="Normal"/>
    <w:qFormat/>
    <w:rsid w:val="005A11A0"/>
    <w:rPr>
      <w:rFonts w:ascii="Century Gothic" w:eastAsia="Calibri" w:hAnsi="Century Gothic"/>
      <w:sz w:val="20"/>
      <w:lang w:val="en-GB" w:eastAsia="zh-CN"/>
    </w:rPr>
  </w:style>
  <w:style w:type="paragraph" w:customStyle="1" w:styleId="msotablecolorfullistaccent10">
    <w:name w:val="msotablecolorfullistaccent1"/>
    <w:basedOn w:val="Normal"/>
    <w:uiPriority w:val="34"/>
    <w:qFormat/>
    <w:rsid w:val="005A11A0"/>
    <w:pPr>
      <w:ind w:left="720"/>
      <w:contextualSpacing/>
    </w:pPr>
    <w:rPr>
      <w:rFonts w:ascii="Century Gothic" w:eastAsia="SimSun" w:hAnsi="Century Gothic" w:cs="Arial"/>
      <w:sz w:val="20"/>
      <w:lang w:val="en-GB" w:eastAsia="zh-CN"/>
    </w:rPr>
  </w:style>
  <w:style w:type="paragraph" w:styleId="NormalWeb">
    <w:name w:val="Normal (Web)"/>
    <w:basedOn w:val="Normal"/>
    <w:uiPriority w:val="99"/>
    <w:semiHidden/>
    <w:unhideWhenUsed/>
    <w:rsid w:val="00DC044A"/>
    <w:pPr>
      <w:spacing w:before="100" w:beforeAutospacing="1" w:after="100" w:afterAutospacing="1" w:line="240" w:lineRule="auto"/>
    </w:pPr>
    <w:rPr>
      <w:rFonts w:ascii="Times New Roman" w:eastAsiaTheme="minorEastAsia" w:hAnsi="Times New Roman"/>
      <w:sz w:val="24"/>
      <w:szCs w:val="24"/>
    </w:rPr>
  </w:style>
  <w:style w:type="character" w:customStyle="1" w:styleId="UnresolvedMention1">
    <w:name w:val="Unresolved Mention1"/>
    <w:basedOn w:val="DefaultParagraphFont"/>
    <w:uiPriority w:val="99"/>
    <w:semiHidden/>
    <w:unhideWhenUsed/>
    <w:rsid w:val="0057566A"/>
    <w:rPr>
      <w:color w:val="605E5C"/>
      <w:shd w:val="clear" w:color="auto" w:fill="E1DFDD"/>
    </w:rPr>
  </w:style>
  <w:style w:type="table" w:customStyle="1" w:styleId="TableGrid2">
    <w:name w:val="Table Grid2"/>
    <w:basedOn w:val="TableNormal"/>
    <w:next w:val="TableGrid"/>
    <w:uiPriority w:val="59"/>
    <w:rsid w:val="00B60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
    <w:name w:val="textbox"/>
    <w:basedOn w:val="Normal"/>
    <w:rsid w:val="00800D9B"/>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484311"/>
    <w:rPr>
      <w:color w:val="808080"/>
    </w:rPr>
  </w:style>
  <w:style w:type="paragraph" w:customStyle="1" w:styleId="paragraph">
    <w:name w:val="paragraph"/>
    <w:basedOn w:val="Normal"/>
    <w:rsid w:val="00AC0064"/>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AC0064"/>
  </w:style>
  <w:style w:type="character" w:customStyle="1" w:styleId="eop">
    <w:name w:val="eop"/>
    <w:basedOn w:val="DefaultParagraphFont"/>
    <w:rsid w:val="00AC0064"/>
  </w:style>
  <w:style w:type="character" w:customStyle="1" w:styleId="scxw133355958">
    <w:name w:val="scxw133355958"/>
    <w:basedOn w:val="DefaultParagraphFont"/>
    <w:rsid w:val="00AC0064"/>
  </w:style>
  <w:style w:type="character" w:customStyle="1" w:styleId="scxw60752705">
    <w:name w:val="scxw60752705"/>
    <w:basedOn w:val="DefaultParagraphFont"/>
    <w:rsid w:val="00AC0064"/>
  </w:style>
  <w:style w:type="character" w:customStyle="1" w:styleId="scxw133509043">
    <w:name w:val="scxw133509043"/>
    <w:basedOn w:val="DefaultParagraphFont"/>
    <w:rsid w:val="00AC0064"/>
  </w:style>
  <w:style w:type="character" w:customStyle="1" w:styleId="scxw176254166">
    <w:name w:val="scxw176254166"/>
    <w:basedOn w:val="DefaultParagraphFont"/>
    <w:rsid w:val="00AC0064"/>
  </w:style>
  <w:style w:type="table" w:customStyle="1" w:styleId="MediumGrid3-Accent111">
    <w:name w:val="Medium Grid 3 - Accent 111"/>
    <w:basedOn w:val="TableNormal"/>
    <w:next w:val="MediumGrid3-Accent1"/>
    <w:uiPriority w:val="69"/>
    <w:rsid w:val="00DF0DD3"/>
    <w:rPr>
      <w:rFonts w:eastAsia="Calibri" w:cs="Times New Roman"/>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918">
      <w:bodyDiv w:val="1"/>
      <w:marLeft w:val="0"/>
      <w:marRight w:val="0"/>
      <w:marTop w:val="0"/>
      <w:marBottom w:val="0"/>
      <w:divBdr>
        <w:top w:val="none" w:sz="0" w:space="0" w:color="auto"/>
        <w:left w:val="none" w:sz="0" w:space="0" w:color="auto"/>
        <w:bottom w:val="none" w:sz="0" w:space="0" w:color="auto"/>
        <w:right w:val="none" w:sz="0" w:space="0" w:color="auto"/>
      </w:divBdr>
    </w:div>
    <w:div w:id="30227861">
      <w:bodyDiv w:val="1"/>
      <w:marLeft w:val="0"/>
      <w:marRight w:val="0"/>
      <w:marTop w:val="0"/>
      <w:marBottom w:val="0"/>
      <w:divBdr>
        <w:top w:val="none" w:sz="0" w:space="0" w:color="auto"/>
        <w:left w:val="none" w:sz="0" w:space="0" w:color="auto"/>
        <w:bottom w:val="none" w:sz="0" w:space="0" w:color="auto"/>
        <w:right w:val="none" w:sz="0" w:space="0" w:color="auto"/>
      </w:divBdr>
    </w:div>
    <w:div w:id="124541529">
      <w:bodyDiv w:val="1"/>
      <w:marLeft w:val="0"/>
      <w:marRight w:val="0"/>
      <w:marTop w:val="0"/>
      <w:marBottom w:val="0"/>
      <w:divBdr>
        <w:top w:val="none" w:sz="0" w:space="0" w:color="auto"/>
        <w:left w:val="none" w:sz="0" w:space="0" w:color="auto"/>
        <w:bottom w:val="none" w:sz="0" w:space="0" w:color="auto"/>
        <w:right w:val="none" w:sz="0" w:space="0" w:color="auto"/>
      </w:divBdr>
    </w:div>
    <w:div w:id="150487916">
      <w:bodyDiv w:val="1"/>
      <w:marLeft w:val="0"/>
      <w:marRight w:val="0"/>
      <w:marTop w:val="0"/>
      <w:marBottom w:val="0"/>
      <w:divBdr>
        <w:top w:val="none" w:sz="0" w:space="0" w:color="auto"/>
        <w:left w:val="none" w:sz="0" w:space="0" w:color="auto"/>
        <w:bottom w:val="none" w:sz="0" w:space="0" w:color="auto"/>
        <w:right w:val="none" w:sz="0" w:space="0" w:color="auto"/>
      </w:divBdr>
    </w:div>
    <w:div w:id="269506011">
      <w:bodyDiv w:val="1"/>
      <w:marLeft w:val="0"/>
      <w:marRight w:val="0"/>
      <w:marTop w:val="0"/>
      <w:marBottom w:val="0"/>
      <w:divBdr>
        <w:top w:val="none" w:sz="0" w:space="0" w:color="auto"/>
        <w:left w:val="none" w:sz="0" w:space="0" w:color="auto"/>
        <w:bottom w:val="none" w:sz="0" w:space="0" w:color="auto"/>
        <w:right w:val="none" w:sz="0" w:space="0" w:color="auto"/>
      </w:divBdr>
      <w:divsChild>
        <w:div w:id="167209533">
          <w:marLeft w:val="0"/>
          <w:marRight w:val="0"/>
          <w:marTop w:val="0"/>
          <w:marBottom w:val="0"/>
          <w:divBdr>
            <w:top w:val="none" w:sz="0" w:space="0" w:color="auto"/>
            <w:left w:val="none" w:sz="0" w:space="0" w:color="auto"/>
            <w:bottom w:val="none" w:sz="0" w:space="0" w:color="auto"/>
            <w:right w:val="none" w:sz="0" w:space="0" w:color="auto"/>
          </w:divBdr>
          <w:divsChild>
            <w:div w:id="175075009">
              <w:marLeft w:val="0"/>
              <w:marRight w:val="0"/>
              <w:marTop w:val="0"/>
              <w:marBottom w:val="0"/>
              <w:divBdr>
                <w:top w:val="none" w:sz="0" w:space="0" w:color="auto"/>
                <w:left w:val="none" w:sz="0" w:space="0" w:color="auto"/>
                <w:bottom w:val="none" w:sz="0" w:space="0" w:color="auto"/>
                <w:right w:val="none" w:sz="0" w:space="0" w:color="auto"/>
              </w:divBdr>
            </w:div>
          </w:divsChild>
        </w:div>
        <w:div w:id="410859456">
          <w:marLeft w:val="0"/>
          <w:marRight w:val="0"/>
          <w:marTop w:val="0"/>
          <w:marBottom w:val="0"/>
          <w:divBdr>
            <w:top w:val="none" w:sz="0" w:space="0" w:color="auto"/>
            <w:left w:val="none" w:sz="0" w:space="0" w:color="auto"/>
            <w:bottom w:val="none" w:sz="0" w:space="0" w:color="auto"/>
            <w:right w:val="none" w:sz="0" w:space="0" w:color="auto"/>
          </w:divBdr>
          <w:divsChild>
            <w:div w:id="670109728">
              <w:marLeft w:val="0"/>
              <w:marRight w:val="0"/>
              <w:marTop w:val="0"/>
              <w:marBottom w:val="0"/>
              <w:divBdr>
                <w:top w:val="none" w:sz="0" w:space="0" w:color="auto"/>
                <w:left w:val="none" w:sz="0" w:space="0" w:color="auto"/>
                <w:bottom w:val="none" w:sz="0" w:space="0" w:color="auto"/>
                <w:right w:val="none" w:sz="0" w:space="0" w:color="auto"/>
              </w:divBdr>
            </w:div>
          </w:divsChild>
        </w:div>
        <w:div w:id="460926041">
          <w:marLeft w:val="0"/>
          <w:marRight w:val="0"/>
          <w:marTop w:val="0"/>
          <w:marBottom w:val="0"/>
          <w:divBdr>
            <w:top w:val="none" w:sz="0" w:space="0" w:color="auto"/>
            <w:left w:val="none" w:sz="0" w:space="0" w:color="auto"/>
            <w:bottom w:val="none" w:sz="0" w:space="0" w:color="auto"/>
            <w:right w:val="none" w:sz="0" w:space="0" w:color="auto"/>
          </w:divBdr>
          <w:divsChild>
            <w:div w:id="499084840">
              <w:marLeft w:val="0"/>
              <w:marRight w:val="0"/>
              <w:marTop w:val="0"/>
              <w:marBottom w:val="0"/>
              <w:divBdr>
                <w:top w:val="none" w:sz="0" w:space="0" w:color="auto"/>
                <w:left w:val="none" w:sz="0" w:space="0" w:color="auto"/>
                <w:bottom w:val="none" w:sz="0" w:space="0" w:color="auto"/>
                <w:right w:val="none" w:sz="0" w:space="0" w:color="auto"/>
              </w:divBdr>
            </w:div>
          </w:divsChild>
        </w:div>
        <w:div w:id="731731998">
          <w:marLeft w:val="0"/>
          <w:marRight w:val="0"/>
          <w:marTop w:val="0"/>
          <w:marBottom w:val="0"/>
          <w:divBdr>
            <w:top w:val="none" w:sz="0" w:space="0" w:color="auto"/>
            <w:left w:val="none" w:sz="0" w:space="0" w:color="auto"/>
            <w:bottom w:val="none" w:sz="0" w:space="0" w:color="auto"/>
            <w:right w:val="none" w:sz="0" w:space="0" w:color="auto"/>
          </w:divBdr>
          <w:divsChild>
            <w:div w:id="1567645070">
              <w:marLeft w:val="0"/>
              <w:marRight w:val="0"/>
              <w:marTop w:val="0"/>
              <w:marBottom w:val="0"/>
              <w:divBdr>
                <w:top w:val="none" w:sz="0" w:space="0" w:color="auto"/>
                <w:left w:val="none" w:sz="0" w:space="0" w:color="auto"/>
                <w:bottom w:val="none" w:sz="0" w:space="0" w:color="auto"/>
                <w:right w:val="none" w:sz="0" w:space="0" w:color="auto"/>
              </w:divBdr>
            </w:div>
          </w:divsChild>
        </w:div>
        <w:div w:id="823860136">
          <w:marLeft w:val="0"/>
          <w:marRight w:val="0"/>
          <w:marTop w:val="0"/>
          <w:marBottom w:val="0"/>
          <w:divBdr>
            <w:top w:val="none" w:sz="0" w:space="0" w:color="auto"/>
            <w:left w:val="none" w:sz="0" w:space="0" w:color="auto"/>
            <w:bottom w:val="none" w:sz="0" w:space="0" w:color="auto"/>
            <w:right w:val="none" w:sz="0" w:space="0" w:color="auto"/>
          </w:divBdr>
          <w:divsChild>
            <w:div w:id="1457791763">
              <w:marLeft w:val="0"/>
              <w:marRight w:val="0"/>
              <w:marTop w:val="0"/>
              <w:marBottom w:val="0"/>
              <w:divBdr>
                <w:top w:val="none" w:sz="0" w:space="0" w:color="auto"/>
                <w:left w:val="none" w:sz="0" w:space="0" w:color="auto"/>
                <w:bottom w:val="none" w:sz="0" w:space="0" w:color="auto"/>
                <w:right w:val="none" w:sz="0" w:space="0" w:color="auto"/>
              </w:divBdr>
            </w:div>
          </w:divsChild>
        </w:div>
        <w:div w:id="1115254172">
          <w:marLeft w:val="0"/>
          <w:marRight w:val="0"/>
          <w:marTop w:val="0"/>
          <w:marBottom w:val="0"/>
          <w:divBdr>
            <w:top w:val="none" w:sz="0" w:space="0" w:color="auto"/>
            <w:left w:val="none" w:sz="0" w:space="0" w:color="auto"/>
            <w:bottom w:val="none" w:sz="0" w:space="0" w:color="auto"/>
            <w:right w:val="none" w:sz="0" w:space="0" w:color="auto"/>
          </w:divBdr>
          <w:divsChild>
            <w:div w:id="1526554926">
              <w:marLeft w:val="0"/>
              <w:marRight w:val="0"/>
              <w:marTop w:val="0"/>
              <w:marBottom w:val="0"/>
              <w:divBdr>
                <w:top w:val="none" w:sz="0" w:space="0" w:color="auto"/>
                <w:left w:val="none" w:sz="0" w:space="0" w:color="auto"/>
                <w:bottom w:val="none" w:sz="0" w:space="0" w:color="auto"/>
                <w:right w:val="none" w:sz="0" w:space="0" w:color="auto"/>
              </w:divBdr>
            </w:div>
          </w:divsChild>
        </w:div>
        <w:div w:id="1292177218">
          <w:marLeft w:val="0"/>
          <w:marRight w:val="0"/>
          <w:marTop w:val="0"/>
          <w:marBottom w:val="0"/>
          <w:divBdr>
            <w:top w:val="none" w:sz="0" w:space="0" w:color="auto"/>
            <w:left w:val="none" w:sz="0" w:space="0" w:color="auto"/>
            <w:bottom w:val="none" w:sz="0" w:space="0" w:color="auto"/>
            <w:right w:val="none" w:sz="0" w:space="0" w:color="auto"/>
          </w:divBdr>
          <w:divsChild>
            <w:div w:id="68576685">
              <w:marLeft w:val="0"/>
              <w:marRight w:val="0"/>
              <w:marTop w:val="0"/>
              <w:marBottom w:val="0"/>
              <w:divBdr>
                <w:top w:val="none" w:sz="0" w:space="0" w:color="auto"/>
                <w:left w:val="none" w:sz="0" w:space="0" w:color="auto"/>
                <w:bottom w:val="none" w:sz="0" w:space="0" w:color="auto"/>
                <w:right w:val="none" w:sz="0" w:space="0" w:color="auto"/>
              </w:divBdr>
            </w:div>
          </w:divsChild>
        </w:div>
        <w:div w:id="1447429953">
          <w:marLeft w:val="0"/>
          <w:marRight w:val="0"/>
          <w:marTop w:val="0"/>
          <w:marBottom w:val="0"/>
          <w:divBdr>
            <w:top w:val="none" w:sz="0" w:space="0" w:color="auto"/>
            <w:left w:val="none" w:sz="0" w:space="0" w:color="auto"/>
            <w:bottom w:val="none" w:sz="0" w:space="0" w:color="auto"/>
            <w:right w:val="none" w:sz="0" w:space="0" w:color="auto"/>
          </w:divBdr>
          <w:divsChild>
            <w:div w:id="1901473427">
              <w:marLeft w:val="0"/>
              <w:marRight w:val="0"/>
              <w:marTop w:val="0"/>
              <w:marBottom w:val="0"/>
              <w:divBdr>
                <w:top w:val="none" w:sz="0" w:space="0" w:color="auto"/>
                <w:left w:val="none" w:sz="0" w:space="0" w:color="auto"/>
                <w:bottom w:val="none" w:sz="0" w:space="0" w:color="auto"/>
                <w:right w:val="none" w:sz="0" w:space="0" w:color="auto"/>
              </w:divBdr>
            </w:div>
          </w:divsChild>
        </w:div>
        <w:div w:id="1790079375">
          <w:marLeft w:val="0"/>
          <w:marRight w:val="0"/>
          <w:marTop w:val="0"/>
          <w:marBottom w:val="0"/>
          <w:divBdr>
            <w:top w:val="none" w:sz="0" w:space="0" w:color="auto"/>
            <w:left w:val="none" w:sz="0" w:space="0" w:color="auto"/>
            <w:bottom w:val="none" w:sz="0" w:space="0" w:color="auto"/>
            <w:right w:val="none" w:sz="0" w:space="0" w:color="auto"/>
          </w:divBdr>
          <w:divsChild>
            <w:div w:id="18898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3510">
      <w:bodyDiv w:val="1"/>
      <w:marLeft w:val="0"/>
      <w:marRight w:val="0"/>
      <w:marTop w:val="0"/>
      <w:marBottom w:val="0"/>
      <w:divBdr>
        <w:top w:val="none" w:sz="0" w:space="0" w:color="auto"/>
        <w:left w:val="none" w:sz="0" w:space="0" w:color="auto"/>
        <w:bottom w:val="none" w:sz="0" w:space="0" w:color="auto"/>
        <w:right w:val="none" w:sz="0" w:space="0" w:color="auto"/>
      </w:divBdr>
    </w:div>
    <w:div w:id="473260255">
      <w:bodyDiv w:val="1"/>
      <w:marLeft w:val="0"/>
      <w:marRight w:val="0"/>
      <w:marTop w:val="0"/>
      <w:marBottom w:val="0"/>
      <w:divBdr>
        <w:top w:val="none" w:sz="0" w:space="0" w:color="auto"/>
        <w:left w:val="none" w:sz="0" w:space="0" w:color="auto"/>
        <w:bottom w:val="none" w:sz="0" w:space="0" w:color="auto"/>
        <w:right w:val="none" w:sz="0" w:space="0" w:color="auto"/>
      </w:divBdr>
    </w:div>
    <w:div w:id="488178143">
      <w:bodyDiv w:val="1"/>
      <w:marLeft w:val="0"/>
      <w:marRight w:val="0"/>
      <w:marTop w:val="0"/>
      <w:marBottom w:val="0"/>
      <w:divBdr>
        <w:top w:val="none" w:sz="0" w:space="0" w:color="auto"/>
        <w:left w:val="none" w:sz="0" w:space="0" w:color="auto"/>
        <w:bottom w:val="none" w:sz="0" w:space="0" w:color="auto"/>
        <w:right w:val="none" w:sz="0" w:space="0" w:color="auto"/>
      </w:divBdr>
    </w:div>
    <w:div w:id="530580471">
      <w:bodyDiv w:val="1"/>
      <w:marLeft w:val="0"/>
      <w:marRight w:val="0"/>
      <w:marTop w:val="0"/>
      <w:marBottom w:val="0"/>
      <w:divBdr>
        <w:top w:val="none" w:sz="0" w:space="0" w:color="auto"/>
        <w:left w:val="none" w:sz="0" w:space="0" w:color="auto"/>
        <w:bottom w:val="none" w:sz="0" w:space="0" w:color="auto"/>
        <w:right w:val="none" w:sz="0" w:space="0" w:color="auto"/>
      </w:divBdr>
    </w:div>
    <w:div w:id="647708945">
      <w:bodyDiv w:val="1"/>
      <w:marLeft w:val="0"/>
      <w:marRight w:val="0"/>
      <w:marTop w:val="0"/>
      <w:marBottom w:val="0"/>
      <w:divBdr>
        <w:top w:val="none" w:sz="0" w:space="0" w:color="auto"/>
        <w:left w:val="none" w:sz="0" w:space="0" w:color="auto"/>
        <w:bottom w:val="none" w:sz="0" w:space="0" w:color="auto"/>
        <w:right w:val="none" w:sz="0" w:space="0" w:color="auto"/>
      </w:divBdr>
    </w:div>
    <w:div w:id="838740532">
      <w:bodyDiv w:val="1"/>
      <w:marLeft w:val="0"/>
      <w:marRight w:val="0"/>
      <w:marTop w:val="0"/>
      <w:marBottom w:val="0"/>
      <w:divBdr>
        <w:top w:val="none" w:sz="0" w:space="0" w:color="auto"/>
        <w:left w:val="none" w:sz="0" w:space="0" w:color="auto"/>
        <w:bottom w:val="none" w:sz="0" w:space="0" w:color="auto"/>
        <w:right w:val="none" w:sz="0" w:space="0" w:color="auto"/>
      </w:divBdr>
    </w:div>
    <w:div w:id="1119909914">
      <w:bodyDiv w:val="1"/>
      <w:marLeft w:val="0"/>
      <w:marRight w:val="0"/>
      <w:marTop w:val="0"/>
      <w:marBottom w:val="0"/>
      <w:divBdr>
        <w:top w:val="none" w:sz="0" w:space="0" w:color="auto"/>
        <w:left w:val="none" w:sz="0" w:space="0" w:color="auto"/>
        <w:bottom w:val="none" w:sz="0" w:space="0" w:color="auto"/>
        <w:right w:val="none" w:sz="0" w:space="0" w:color="auto"/>
      </w:divBdr>
    </w:div>
    <w:div w:id="1236235449">
      <w:bodyDiv w:val="1"/>
      <w:marLeft w:val="0"/>
      <w:marRight w:val="0"/>
      <w:marTop w:val="0"/>
      <w:marBottom w:val="0"/>
      <w:divBdr>
        <w:top w:val="none" w:sz="0" w:space="0" w:color="auto"/>
        <w:left w:val="none" w:sz="0" w:space="0" w:color="auto"/>
        <w:bottom w:val="none" w:sz="0" w:space="0" w:color="auto"/>
        <w:right w:val="none" w:sz="0" w:space="0" w:color="auto"/>
      </w:divBdr>
      <w:divsChild>
        <w:div w:id="651569222">
          <w:marLeft w:val="0"/>
          <w:marRight w:val="0"/>
          <w:marTop w:val="0"/>
          <w:marBottom w:val="0"/>
          <w:divBdr>
            <w:top w:val="none" w:sz="0" w:space="0" w:color="auto"/>
            <w:left w:val="none" w:sz="0" w:space="0" w:color="auto"/>
            <w:bottom w:val="none" w:sz="0" w:space="0" w:color="auto"/>
            <w:right w:val="none" w:sz="0" w:space="0" w:color="auto"/>
          </w:divBdr>
          <w:divsChild>
            <w:div w:id="806624793">
              <w:marLeft w:val="0"/>
              <w:marRight w:val="0"/>
              <w:marTop w:val="0"/>
              <w:marBottom w:val="0"/>
              <w:divBdr>
                <w:top w:val="none" w:sz="0" w:space="0" w:color="auto"/>
                <w:left w:val="none" w:sz="0" w:space="0" w:color="auto"/>
                <w:bottom w:val="none" w:sz="0" w:space="0" w:color="auto"/>
                <w:right w:val="none" w:sz="0" w:space="0" w:color="auto"/>
              </w:divBdr>
            </w:div>
          </w:divsChild>
        </w:div>
        <w:div w:id="756050270">
          <w:marLeft w:val="0"/>
          <w:marRight w:val="0"/>
          <w:marTop w:val="0"/>
          <w:marBottom w:val="0"/>
          <w:divBdr>
            <w:top w:val="none" w:sz="0" w:space="0" w:color="auto"/>
            <w:left w:val="none" w:sz="0" w:space="0" w:color="auto"/>
            <w:bottom w:val="none" w:sz="0" w:space="0" w:color="auto"/>
            <w:right w:val="none" w:sz="0" w:space="0" w:color="auto"/>
          </w:divBdr>
          <w:divsChild>
            <w:div w:id="2028675436">
              <w:marLeft w:val="0"/>
              <w:marRight w:val="0"/>
              <w:marTop w:val="0"/>
              <w:marBottom w:val="0"/>
              <w:divBdr>
                <w:top w:val="none" w:sz="0" w:space="0" w:color="auto"/>
                <w:left w:val="none" w:sz="0" w:space="0" w:color="auto"/>
                <w:bottom w:val="none" w:sz="0" w:space="0" w:color="auto"/>
                <w:right w:val="none" w:sz="0" w:space="0" w:color="auto"/>
              </w:divBdr>
            </w:div>
          </w:divsChild>
        </w:div>
        <w:div w:id="970288223">
          <w:marLeft w:val="0"/>
          <w:marRight w:val="0"/>
          <w:marTop w:val="0"/>
          <w:marBottom w:val="0"/>
          <w:divBdr>
            <w:top w:val="none" w:sz="0" w:space="0" w:color="auto"/>
            <w:left w:val="none" w:sz="0" w:space="0" w:color="auto"/>
            <w:bottom w:val="none" w:sz="0" w:space="0" w:color="auto"/>
            <w:right w:val="none" w:sz="0" w:space="0" w:color="auto"/>
          </w:divBdr>
          <w:divsChild>
            <w:div w:id="1460223565">
              <w:marLeft w:val="0"/>
              <w:marRight w:val="0"/>
              <w:marTop w:val="0"/>
              <w:marBottom w:val="0"/>
              <w:divBdr>
                <w:top w:val="none" w:sz="0" w:space="0" w:color="auto"/>
                <w:left w:val="none" w:sz="0" w:space="0" w:color="auto"/>
                <w:bottom w:val="none" w:sz="0" w:space="0" w:color="auto"/>
                <w:right w:val="none" w:sz="0" w:space="0" w:color="auto"/>
              </w:divBdr>
            </w:div>
          </w:divsChild>
        </w:div>
        <w:div w:id="1078358752">
          <w:marLeft w:val="0"/>
          <w:marRight w:val="0"/>
          <w:marTop w:val="0"/>
          <w:marBottom w:val="0"/>
          <w:divBdr>
            <w:top w:val="none" w:sz="0" w:space="0" w:color="auto"/>
            <w:left w:val="none" w:sz="0" w:space="0" w:color="auto"/>
            <w:bottom w:val="none" w:sz="0" w:space="0" w:color="auto"/>
            <w:right w:val="none" w:sz="0" w:space="0" w:color="auto"/>
          </w:divBdr>
          <w:divsChild>
            <w:div w:id="617185074">
              <w:marLeft w:val="0"/>
              <w:marRight w:val="0"/>
              <w:marTop w:val="0"/>
              <w:marBottom w:val="0"/>
              <w:divBdr>
                <w:top w:val="none" w:sz="0" w:space="0" w:color="auto"/>
                <w:left w:val="none" w:sz="0" w:space="0" w:color="auto"/>
                <w:bottom w:val="none" w:sz="0" w:space="0" w:color="auto"/>
                <w:right w:val="none" w:sz="0" w:space="0" w:color="auto"/>
              </w:divBdr>
            </w:div>
          </w:divsChild>
        </w:div>
        <w:div w:id="1792090055">
          <w:marLeft w:val="0"/>
          <w:marRight w:val="0"/>
          <w:marTop w:val="0"/>
          <w:marBottom w:val="0"/>
          <w:divBdr>
            <w:top w:val="none" w:sz="0" w:space="0" w:color="auto"/>
            <w:left w:val="none" w:sz="0" w:space="0" w:color="auto"/>
            <w:bottom w:val="none" w:sz="0" w:space="0" w:color="auto"/>
            <w:right w:val="none" w:sz="0" w:space="0" w:color="auto"/>
          </w:divBdr>
          <w:divsChild>
            <w:div w:id="1037781640">
              <w:marLeft w:val="0"/>
              <w:marRight w:val="0"/>
              <w:marTop w:val="0"/>
              <w:marBottom w:val="0"/>
              <w:divBdr>
                <w:top w:val="none" w:sz="0" w:space="0" w:color="auto"/>
                <w:left w:val="none" w:sz="0" w:space="0" w:color="auto"/>
                <w:bottom w:val="none" w:sz="0" w:space="0" w:color="auto"/>
                <w:right w:val="none" w:sz="0" w:space="0" w:color="auto"/>
              </w:divBdr>
            </w:div>
          </w:divsChild>
        </w:div>
        <w:div w:id="1942294469">
          <w:marLeft w:val="0"/>
          <w:marRight w:val="0"/>
          <w:marTop w:val="0"/>
          <w:marBottom w:val="0"/>
          <w:divBdr>
            <w:top w:val="none" w:sz="0" w:space="0" w:color="auto"/>
            <w:left w:val="none" w:sz="0" w:space="0" w:color="auto"/>
            <w:bottom w:val="none" w:sz="0" w:space="0" w:color="auto"/>
            <w:right w:val="none" w:sz="0" w:space="0" w:color="auto"/>
          </w:divBdr>
          <w:divsChild>
            <w:div w:id="1756515773">
              <w:marLeft w:val="0"/>
              <w:marRight w:val="0"/>
              <w:marTop w:val="0"/>
              <w:marBottom w:val="0"/>
              <w:divBdr>
                <w:top w:val="none" w:sz="0" w:space="0" w:color="auto"/>
                <w:left w:val="none" w:sz="0" w:space="0" w:color="auto"/>
                <w:bottom w:val="none" w:sz="0" w:space="0" w:color="auto"/>
                <w:right w:val="none" w:sz="0" w:space="0" w:color="auto"/>
              </w:divBdr>
            </w:div>
          </w:divsChild>
        </w:div>
        <w:div w:id="2048599429">
          <w:marLeft w:val="0"/>
          <w:marRight w:val="0"/>
          <w:marTop w:val="0"/>
          <w:marBottom w:val="0"/>
          <w:divBdr>
            <w:top w:val="none" w:sz="0" w:space="0" w:color="auto"/>
            <w:left w:val="none" w:sz="0" w:space="0" w:color="auto"/>
            <w:bottom w:val="none" w:sz="0" w:space="0" w:color="auto"/>
            <w:right w:val="none" w:sz="0" w:space="0" w:color="auto"/>
          </w:divBdr>
          <w:divsChild>
            <w:div w:id="772942310">
              <w:marLeft w:val="0"/>
              <w:marRight w:val="0"/>
              <w:marTop w:val="0"/>
              <w:marBottom w:val="0"/>
              <w:divBdr>
                <w:top w:val="none" w:sz="0" w:space="0" w:color="auto"/>
                <w:left w:val="none" w:sz="0" w:space="0" w:color="auto"/>
                <w:bottom w:val="none" w:sz="0" w:space="0" w:color="auto"/>
                <w:right w:val="none" w:sz="0" w:space="0" w:color="auto"/>
              </w:divBdr>
            </w:div>
          </w:divsChild>
        </w:div>
        <w:div w:id="2082408154">
          <w:marLeft w:val="0"/>
          <w:marRight w:val="0"/>
          <w:marTop w:val="0"/>
          <w:marBottom w:val="0"/>
          <w:divBdr>
            <w:top w:val="none" w:sz="0" w:space="0" w:color="auto"/>
            <w:left w:val="none" w:sz="0" w:space="0" w:color="auto"/>
            <w:bottom w:val="none" w:sz="0" w:space="0" w:color="auto"/>
            <w:right w:val="none" w:sz="0" w:space="0" w:color="auto"/>
          </w:divBdr>
          <w:divsChild>
            <w:div w:id="1413429672">
              <w:marLeft w:val="0"/>
              <w:marRight w:val="0"/>
              <w:marTop w:val="0"/>
              <w:marBottom w:val="0"/>
              <w:divBdr>
                <w:top w:val="none" w:sz="0" w:space="0" w:color="auto"/>
                <w:left w:val="none" w:sz="0" w:space="0" w:color="auto"/>
                <w:bottom w:val="none" w:sz="0" w:space="0" w:color="auto"/>
                <w:right w:val="none" w:sz="0" w:space="0" w:color="auto"/>
              </w:divBdr>
            </w:div>
          </w:divsChild>
        </w:div>
        <w:div w:id="2130734040">
          <w:marLeft w:val="0"/>
          <w:marRight w:val="0"/>
          <w:marTop w:val="0"/>
          <w:marBottom w:val="0"/>
          <w:divBdr>
            <w:top w:val="none" w:sz="0" w:space="0" w:color="auto"/>
            <w:left w:val="none" w:sz="0" w:space="0" w:color="auto"/>
            <w:bottom w:val="none" w:sz="0" w:space="0" w:color="auto"/>
            <w:right w:val="none" w:sz="0" w:space="0" w:color="auto"/>
          </w:divBdr>
          <w:divsChild>
            <w:div w:id="21118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5895">
      <w:bodyDiv w:val="1"/>
      <w:marLeft w:val="0"/>
      <w:marRight w:val="0"/>
      <w:marTop w:val="0"/>
      <w:marBottom w:val="0"/>
      <w:divBdr>
        <w:top w:val="none" w:sz="0" w:space="0" w:color="auto"/>
        <w:left w:val="none" w:sz="0" w:space="0" w:color="auto"/>
        <w:bottom w:val="none" w:sz="0" w:space="0" w:color="auto"/>
        <w:right w:val="none" w:sz="0" w:space="0" w:color="auto"/>
      </w:divBdr>
    </w:div>
    <w:div w:id="1314411834">
      <w:bodyDiv w:val="1"/>
      <w:marLeft w:val="0"/>
      <w:marRight w:val="0"/>
      <w:marTop w:val="0"/>
      <w:marBottom w:val="0"/>
      <w:divBdr>
        <w:top w:val="none" w:sz="0" w:space="0" w:color="auto"/>
        <w:left w:val="none" w:sz="0" w:space="0" w:color="auto"/>
        <w:bottom w:val="none" w:sz="0" w:space="0" w:color="auto"/>
        <w:right w:val="none" w:sz="0" w:space="0" w:color="auto"/>
      </w:divBdr>
      <w:divsChild>
        <w:div w:id="17195108">
          <w:marLeft w:val="0"/>
          <w:marRight w:val="0"/>
          <w:marTop w:val="0"/>
          <w:marBottom w:val="0"/>
          <w:divBdr>
            <w:top w:val="none" w:sz="0" w:space="0" w:color="auto"/>
            <w:left w:val="none" w:sz="0" w:space="0" w:color="auto"/>
            <w:bottom w:val="none" w:sz="0" w:space="0" w:color="auto"/>
            <w:right w:val="none" w:sz="0" w:space="0" w:color="auto"/>
          </w:divBdr>
          <w:divsChild>
            <w:div w:id="347146881">
              <w:marLeft w:val="0"/>
              <w:marRight w:val="0"/>
              <w:marTop w:val="0"/>
              <w:marBottom w:val="0"/>
              <w:divBdr>
                <w:top w:val="none" w:sz="0" w:space="0" w:color="auto"/>
                <w:left w:val="none" w:sz="0" w:space="0" w:color="auto"/>
                <w:bottom w:val="none" w:sz="0" w:space="0" w:color="auto"/>
                <w:right w:val="none" w:sz="0" w:space="0" w:color="auto"/>
              </w:divBdr>
            </w:div>
          </w:divsChild>
        </w:div>
        <w:div w:id="63376066">
          <w:marLeft w:val="0"/>
          <w:marRight w:val="0"/>
          <w:marTop w:val="0"/>
          <w:marBottom w:val="0"/>
          <w:divBdr>
            <w:top w:val="none" w:sz="0" w:space="0" w:color="auto"/>
            <w:left w:val="none" w:sz="0" w:space="0" w:color="auto"/>
            <w:bottom w:val="none" w:sz="0" w:space="0" w:color="auto"/>
            <w:right w:val="none" w:sz="0" w:space="0" w:color="auto"/>
          </w:divBdr>
          <w:divsChild>
            <w:div w:id="1534029992">
              <w:marLeft w:val="0"/>
              <w:marRight w:val="0"/>
              <w:marTop w:val="0"/>
              <w:marBottom w:val="0"/>
              <w:divBdr>
                <w:top w:val="none" w:sz="0" w:space="0" w:color="auto"/>
                <w:left w:val="none" w:sz="0" w:space="0" w:color="auto"/>
                <w:bottom w:val="none" w:sz="0" w:space="0" w:color="auto"/>
                <w:right w:val="none" w:sz="0" w:space="0" w:color="auto"/>
              </w:divBdr>
            </w:div>
          </w:divsChild>
        </w:div>
        <w:div w:id="152255691">
          <w:marLeft w:val="0"/>
          <w:marRight w:val="0"/>
          <w:marTop w:val="0"/>
          <w:marBottom w:val="0"/>
          <w:divBdr>
            <w:top w:val="none" w:sz="0" w:space="0" w:color="auto"/>
            <w:left w:val="none" w:sz="0" w:space="0" w:color="auto"/>
            <w:bottom w:val="none" w:sz="0" w:space="0" w:color="auto"/>
            <w:right w:val="none" w:sz="0" w:space="0" w:color="auto"/>
          </w:divBdr>
          <w:divsChild>
            <w:div w:id="1290359811">
              <w:marLeft w:val="0"/>
              <w:marRight w:val="0"/>
              <w:marTop w:val="0"/>
              <w:marBottom w:val="0"/>
              <w:divBdr>
                <w:top w:val="none" w:sz="0" w:space="0" w:color="auto"/>
                <w:left w:val="none" w:sz="0" w:space="0" w:color="auto"/>
                <w:bottom w:val="none" w:sz="0" w:space="0" w:color="auto"/>
                <w:right w:val="none" w:sz="0" w:space="0" w:color="auto"/>
              </w:divBdr>
            </w:div>
          </w:divsChild>
        </w:div>
        <w:div w:id="175848414">
          <w:marLeft w:val="0"/>
          <w:marRight w:val="0"/>
          <w:marTop w:val="0"/>
          <w:marBottom w:val="0"/>
          <w:divBdr>
            <w:top w:val="none" w:sz="0" w:space="0" w:color="auto"/>
            <w:left w:val="none" w:sz="0" w:space="0" w:color="auto"/>
            <w:bottom w:val="none" w:sz="0" w:space="0" w:color="auto"/>
            <w:right w:val="none" w:sz="0" w:space="0" w:color="auto"/>
          </w:divBdr>
          <w:divsChild>
            <w:div w:id="913977538">
              <w:marLeft w:val="0"/>
              <w:marRight w:val="0"/>
              <w:marTop w:val="0"/>
              <w:marBottom w:val="0"/>
              <w:divBdr>
                <w:top w:val="none" w:sz="0" w:space="0" w:color="auto"/>
                <w:left w:val="none" w:sz="0" w:space="0" w:color="auto"/>
                <w:bottom w:val="none" w:sz="0" w:space="0" w:color="auto"/>
                <w:right w:val="none" w:sz="0" w:space="0" w:color="auto"/>
              </w:divBdr>
            </w:div>
          </w:divsChild>
        </w:div>
        <w:div w:id="540944727">
          <w:marLeft w:val="0"/>
          <w:marRight w:val="0"/>
          <w:marTop w:val="0"/>
          <w:marBottom w:val="0"/>
          <w:divBdr>
            <w:top w:val="none" w:sz="0" w:space="0" w:color="auto"/>
            <w:left w:val="none" w:sz="0" w:space="0" w:color="auto"/>
            <w:bottom w:val="none" w:sz="0" w:space="0" w:color="auto"/>
            <w:right w:val="none" w:sz="0" w:space="0" w:color="auto"/>
          </w:divBdr>
          <w:divsChild>
            <w:div w:id="827405109">
              <w:marLeft w:val="0"/>
              <w:marRight w:val="0"/>
              <w:marTop w:val="0"/>
              <w:marBottom w:val="0"/>
              <w:divBdr>
                <w:top w:val="none" w:sz="0" w:space="0" w:color="auto"/>
                <w:left w:val="none" w:sz="0" w:space="0" w:color="auto"/>
                <w:bottom w:val="none" w:sz="0" w:space="0" w:color="auto"/>
                <w:right w:val="none" w:sz="0" w:space="0" w:color="auto"/>
              </w:divBdr>
            </w:div>
          </w:divsChild>
        </w:div>
        <w:div w:id="673997743">
          <w:marLeft w:val="0"/>
          <w:marRight w:val="0"/>
          <w:marTop w:val="0"/>
          <w:marBottom w:val="0"/>
          <w:divBdr>
            <w:top w:val="none" w:sz="0" w:space="0" w:color="auto"/>
            <w:left w:val="none" w:sz="0" w:space="0" w:color="auto"/>
            <w:bottom w:val="none" w:sz="0" w:space="0" w:color="auto"/>
            <w:right w:val="none" w:sz="0" w:space="0" w:color="auto"/>
          </w:divBdr>
          <w:divsChild>
            <w:div w:id="1682849557">
              <w:marLeft w:val="0"/>
              <w:marRight w:val="0"/>
              <w:marTop w:val="0"/>
              <w:marBottom w:val="0"/>
              <w:divBdr>
                <w:top w:val="none" w:sz="0" w:space="0" w:color="auto"/>
                <w:left w:val="none" w:sz="0" w:space="0" w:color="auto"/>
                <w:bottom w:val="none" w:sz="0" w:space="0" w:color="auto"/>
                <w:right w:val="none" w:sz="0" w:space="0" w:color="auto"/>
              </w:divBdr>
            </w:div>
          </w:divsChild>
        </w:div>
        <w:div w:id="1067190521">
          <w:marLeft w:val="0"/>
          <w:marRight w:val="0"/>
          <w:marTop w:val="0"/>
          <w:marBottom w:val="0"/>
          <w:divBdr>
            <w:top w:val="none" w:sz="0" w:space="0" w:color="auto"/>
            <w:left w:val="none" w:sz="0" w:space="0" w:color="auto"/>
            <w:bottom w:val="none" w:sz="0" w:space="0" w:color="auto"/>
            <w:right w:val="none" w:sz="0" w:space="0" w:color="auto"/>
          </w:divBdr>
          <w:divsChild>
            <w:div w:id="1619679026">
              <w:marLeft w:val="0"/>
              <w:marRight w:val="0"/>
              <w:marTop w:val="0"/>
              <w:marBottom w:val="0"/>
              <w:divBdr>
                <w:top w:val="none" w:sz="0" w:space="0" w:color="auto"/>
                <w:left w:val="none" w:sz="0" w:space="0" w:color="auto"/>
                <w:bottom w:val="none" w:sz="0" w:space="0" w:color="auto"/>
                <w:right w:val="none" w:sz="0" w:space="0" w:color="auto"/>
              </w:divBdr>
            </w:div>
          </w:divsChild>
        </w:div>
        <w:div w:id="1261914762">
          <w:marLeft w:val="0"/>
          <w:marRight w:val="0"/>
          <w:marTop w:val="0"/>
          <w:marBottom w:val="0"/>
          <w:divBdr>
            <w:top w:val="none" w:sz="0" w:space="0" w:color="auto"/>
            <w:left w:val="none" w:sz="0" w:space="0" w:color="auto"/>
            <w:bottom w:val="none" w:sz="0" w:space="0" w:color="auto"/>
            <w:right w:val="none" w:sz="0" w:space="0" w:color="auto"/>
          </w:divBdr>
          <w:divsChild>
            <w:div w:id="1298534867">
              <w:marLeft w:val="0"/>
              <w:marRight w:val="0"/>
              <w:marTop w:val="0"/>
              <w:marBottom w:val="0"/>
              <w:divBdr>
                <w:top w:val="none" w:sz="0" w:space="0" w:color="auto"/>
                <w:left w:val="none" w:sz="0" w:space="0" w:color="auto"/>
                <w:bottom w:val="none" w:sz="0" w:space="0" w:color="auto"/>
                <w:right w:val="none" w:sz="0" w:space="0" w:color="auto"/>
              </w:divBdr>
            </w:div>
          </w:divsChild>
        </w:div>
        <w:div w:id="1278172638">
          <w:marLeft w:val="0"/>
          <w:marRight w:val="0"/>
          <w:marTop w:val="0"/>
          <w:marBottom w:val="0"/>
          <w:divBdr>
            <w:top w:val="none" w:sz="0" w:space="0" w:color="auto"/>
            <w:left w:val="none" w:sz="0" w:space="0" w:color="auto"/>
            <w:bottom w:val="none" w:sz="0" w:space="0" w:color="auto"/>
            <w:right w:val="none" w:sz="0" w:space="0" w:color="auto"/>
          </w:divBdr>
          <w:divsChild>
            <w:div w:id="2082831290">
              <w:marLeft w:val="0"/>
              <w:marRight w:val="0"/>
              <w:marTop w:val="0"/>
              <w:marBottom w:val="0"/>
              <w:divBdr>
                <w:top w:val="none" w:sz="0" w:space="0" w:color="auto"/>
                <w:left w:val="none" w:sz="0" w:space="0" w:color="auto"/>
                <w:bottom w:val="none" w:sz="0" w:space="0" w:color="auto"/>
                <w:right w:val="none" w:sz="0" w:space="0" w:color="auto"/>
              </w:divBdr>
            </w:div>
          </w:divsChild>
        </w:div>
        <w:div w:id="1852255803">
          <w:marLeft w:val="0"/>
          <w:marRight w:val="0"/>
          <w:marTop w:val="0"/>
          <w:marBottom w:val="0"/>
          <w:divBdr>
            <w:top w:val="none" w:sz="0" w:space="0" w:color="auto"/>
            <w:left w:val="none" w:sz="0" w:space="0" w:color="auto"/>
            <w:bottom w:val="none" w:sz="0" w:space="0" w:color="auto"/>
            <w:right w:val="none" w:sz="0" w:space="0" w:color="auto"/>
          </w:divBdr>
          <w:divsChild>
            <w:div w:id="1519349534">
              <w:marLeft w:val="0"/>
              <w:marRight w:val="0"/>
              <w:marTop w:val="0"/>
              <w:marBottom w:val="0"/>
              <w:divBdr>
                <w:top w:val="none" w:sz="0" w:space="0" w:color="auto"/>
                <w:left w:val="none" w:sz="0" w:space="0" w:color="auto"/>
                <w:bottom w:val="none" w:sz="0" w:space="0" w:color="auto"/>
                <w:right w:val="none" w:sz="0" w:space="0" w:color="auto"/>
              </w:divBdr>
            </w:div>
          </w:divsChild>
        </w:div>
        <w:div w:id="1956717323">
          <w:marLeft w:val="0"/>
          <w:marRight w:val="0"/>
          <w:marTop w:val="0"/>
          <w:marBottom w:val="0"/>
          <w:divBdr>
            <w:top w:val="none" w:sz="0" w:space="0" w:color="auto"/>
            <w:left w:val="none" w:sz="0" w:space="0" w:color="auto"/>
            <w:bottom w:val="none" w:sz="0" w:space="0" w:color="auto"/>
            <w:right w:val="none" w:sz="0" w:space="0" w:color="auto"/>
          </w:divBdr>
          <w:divsChild>
            <w:div w:id="247084025">
              <w:marLeft w:val="0"/>
              <w:marRight w:val="0"/>
              <w:marTop w:val="0"/>
              <w:marBottom w:val="0"/>
              <w:divBdr>
                <w:top w:val="none" w:sz="0" w:space="0" w:color="auto"/>
                <w:left w:val="none" w:sz="0" w:space="0" w:color="auto"/>
                <w:bottom w:val="none" w:sz="0" w:space="0" w:color="auto"/>
                <w:right w:val="none" w:sz="0" w:space="0" w:color="auto"/>
              </w:divBdr>
            </w:div>
          </w:divsChild>
        </w:div>
        <w:div w:id="1993674054">
          <w:marLeft w:val="0"/>
          <w:marRight w:val="0"/>
          <w:marTop w:val="0"/>
          <w:marBottom w:val="0"/>
          <w:divBdr>
            <w:top w:val="none" w:sz="0" w:space="0" w:color="auto"/>
            <w:left w:val="none" w:sz="0" w:space="0" w:color="auto"/>
            <w:bottom w:val="none" w:sz="0" w:space="0" w:color="auto"/>
            <w:right w:val="none" w:sz="0" w:space="0" w:color="auto"/>
          </w:divBdr>
          <w:divsChild>
            <w:div w:id="849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5733">
      <w:bodyDiv w:val="1"/>
      <w:marLeft w:val="0"/>
      <w:marRight w:val="0"/>
      <w:marTop w:val="0"/>
      <w:marBottom w:val="0"/>
      <w:divBdr>
        <w:top w:val="none" w:sz="0" w:space="0" w:color="auto"/>
        <w:left w:val="none" w:sz="0" w:space="0" w:color="auto"/>
        <w:bottom w:val="none" w:sz="0" w:space="0" w:color="auto"/>
        <w:right w:val="none" w:sz="0" w:space="0" w:color="auto"/>
      </w:divBdr>
      <w:divsChild>
        <w:div w:id="338777166">
          <w:marLeft w:val="0"/>
          <w:marRight w:val="0"/>
          <w:marTop w:val="0"/>
          <w:marBottom w:val="0"/>
          <w:divBdr>
            <w:top w:val="none" w:sz="0" w:space="0" w:color="auto"/>
            <w:left w:val="none" w:sz="0" w:space="0" w:color="auto"/>
            <w:bottom w:val="none" w:sz="0" w:space="0" w:color="auto"/>
            <w:right w:val="none" w:sz="0" w:space="0" w:color="auto"/>
          </w:divBdr>
          <w:divsChild>
            <w:div w:id="1068501463">
              <w:marLeft w:val="0"/>
              <w:marRight w:val="0"/>
              <w:marTop w:val="0"/>
              <w:marBottom w:val="0"/>
              <w:divBdr>
                <w:top w:val="none" w:sz="0" w:space="0" w:color="auto"/>
                <w:left w:val="none" w:sz="0" w:space="0" w:color="auto"/>
                <w:bottom w:val="none" w:sz="0" w:space="0" w:color="auto"/>
                <w:right w:val="none" w:sz="0" w:space="0" w:color="auto"/>
              </w:divBdr>
            </w:div>
          </w:divsChild>
        </w:div>
        <w:div w:id="532886275">
          <w:marLeft w:val="0"/>
          <w:marRight w:val="0"/>
          <w:marTop w:val="0"/>
          <w:marBottom w:val="0"/>
          <w:divBdr>
            <w:top w:val="none" w:sz="0" w:space="0" w:color="auto"/>
            <w:left w:val="none" w:sz="0" w:space="0" w:color="auto"/>
            <w:bottom w:val="none" w:sz="0" w:space="0" w:color="auto"/>
            <w:right w:val="none" w:sz="0" w:space="0" w:color="auto"/>
          </w:divBdr>
          <w:divsChild>
            <w:div w:id="1201892961">
              <w:marLeft w:val="0"/>
              <w:marRight w:val="0"/>
              <w:marTop w:val="0"/>
              <w:marBottom w:val="0"/>
              <w:divBdr>
                <w:top w:val="none" w:sz="0" w:space="0" w:color="auto"/>
                <w:left w:val="none" w:sz="0" w:space="0" w:color="auto"/>
                <w:bottom w:val="none" w:sz="0" w:space="0" w:color="auto"/>
                <w:right w:val="none" w:sz="0" w:space="0" w:color="auto"/>
              </w:divBdr>
            </w:div>
          </w:divsChild>
        </w:div>
        <w:div w:id="1182621457">
          <w:marLeft w:val="0"/>
          <w:marRight w:val="0"/>
          <w:marTop w:val="0"/>
          <w:marBottom w:val="0"/>
          <w:divBdr>
            <w:top w:val="none" w:sz="0" w:space="0" w:color="auto"/>
            <w:left w:val="none" w:sz="0" w:space="0" w:color="auto"/>
            <w:bottom w:val="none" w:sz="0" w:space="0" w:color="auto"/>
            <w:right w:val="none" w:sz="0" w:space="0" w:color="auto"/>
          </w:divBdr>
          <w:divsChild>
            <w:div w:id="671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4306">
      <w:bodyDiv w:val="1"/>
      <w:marLeft w:val="0"/>
      <w:marRight w:val="0"/>
      <w:marTop w:val="0"/>
      <w:marBottom w:val="0"/>
      <w:divBdr>
        <w:top w:val="none" w:sz="0" w:space="0" w:color="auto"/>
        <w:left w:val="none" w:sz="0" w:space="0" w:color="auto"/>
        <w:bottom w:val="none" w:sz="0" w:space="0" w:color="auto"/>
        <w:right w:val="none" w:sz="0" w:space="0" w:color="auto"/>
      </w:divBdr>
    </w:div>
    <w:div w:id="1625115986">
      <w:bodyDiv w:val="1"/>
      <w:marLeft w:val="0"/>
      <w:marRight w:val="0"/>
      <w:marTop w:val="0"/>
      <w:marBottom w:val="0"/>
      <w:divBdr>
        <w:top w:val="none" w:sz="0" w:space="0" w:color="auto"/>
        <w:left w:val="none" w:sz="0" w:space="0" w:color="auto"/>
        <w:bottom w:val="none" w:sz="0" w:space="0" w:color="auto"/>
        <w:right w:val="none" w:sz="0" w:space="0" w:color="auto"/>
      </w:divBdr>
    </w:div>
    <w:div w:id="1720207393">
      <w:bodyDiv w:val="1"/>
      <w:marLeft w:val="0"/>
      <w:marRight w:val="0"/>
      <w:marTop w:val="0"/>
      <w:marBottom w:val="0"/>
      <w:divBdr>
        <w:top w:val="none" w:sz="0" w:space="0" w:color="auto"/>
        <w:left w:val="none" w:sz="0" w:space="0" w:color="auto"/>
        <w:bottom w:val="none" w:sz="0" w:space="0" w:color="auto"/>
        <w:right w:val="none" w:sz="0" w:space="0" w:color="auto"/>
      </w:divBdr>
    </w:div>
    <w:div w:id="1742172453">
      <w:bodyDiv w:val="1"/>
      <w:marLeft w:val="0"/>
      <w:marRight w:val="0"/>
      <w:marTop w:val="0"/>
      <w:marBottom w:val="0"/>
      <w:divBdr>
        <w:top w:val="none" w:sz="0" w:space="0" w:color="auto"/>
        <w:left w:val="none" w:sz="0" w:space="0" w:color="auto"/>
        <w:bottom w:val="none" w:sz="0" w:space="0" w:color="auto"/>
        <w:right w:val="none" w:sz="0" w:space="0" w:color="auto"/>
      </w:divBdr>
    </w:div>
    <w:div w:id="1767000807">
      <w:bodyDiv w:val="1"/>
      <w:marLeft w:val="0"/>
      <w:marRight w:val="0"/>
      <w:marTop w:val="0"/>
      <w:marBottom w:val="0"/>
      <w:divBdr>
        <w:top w:val="none" w:sz="0" w:space="0" w:color="auto"/>
        <w:left w:val="none" w:sz="0" w:space="0" w:color="auto"/>
        <w:bottom w:val="none" w:sz="0" w:space="0" w:color="auto"/>
        <w:right w:val="none" w:sz="0" w:space="0" w:color="auto"/>
      </w:divBdr>
    </w:div>
    <w:div w:id="1792826148">
      <w:bodyDiv w:val="1"/>
      <w:marLeft w:val="0"/>
      <w:marRight w:val="0"/>
      <w:marTop w:val="0"/>
      <w:marBottom w:val="0"/>
      <w:divBdr>
        <w:top w:val="none" w:sz="0" w:space="0" w:color="auto"/>
        <w:left w:val="none" w:sz="0" w:space="0" w:color="auto"/>
        <w:bottom w:val="none" w:sz="0" w:space="0" w:color="auto"/>
        <w:right w:val="none" w:sz="0" w:space="0" w:color="auto"/>
      </w:divBdr>
    </w:div>
    <w:div w:id="1825974162">
      <w:bodyDiv w:val="1"/>
      <w:marLeft w:val="0"/>
      <w:marRight w:val="0"/>
      <w:marTop w:val="0"/>
      <w:marBottom w:val="0"/>
      <w:divBdr>
        <w:top w:val="none" w:sz="0" w:space="0" w:color="auto"/>
        <w:left w:val="none" w:sz="0" w:space="0" w:color="auto"/>
        <w:bottom w:val="none" w:sz="0" w:space="0" w:color="auto"/>
        <w:right w:val="none" w:sz="0" w:space="0" w:color="auto"/>
      </w:divBdr>
    </w:div>
    <w:div w:id="1879078257">
      <w:bodyDiv w:val="1"/>
      <w:marLeft w:val="0"/>
      <w:marRight w:val="0"/>
      <w:marTop w:val="0"/>
      <w:marBottom w:val="0"/>
      <w:divBdr>
        <w:top w:val="none" w:sz="0" w:space="0" w:color="auto"/>
        <w:left w:val="none" w:sz="0" w:space="0" w:color="auto"/>
        <w:bottom w:val="none" w:sz="0" w:space="0" w:color="auto"/>
        <w:right w:val="none" w:sz="0" w:space="0" w:color="auto"/>
      </w:divBdr>
      <w:divsChild>
        <w:div w:id="562831612">
          <w:marLeft w:val="0"/>
          <w:marRight w:val="0"/>
          <w:marTop w:val="0"/>
          <w:marBottom w:val="0"/>
          <w:divBdr>
            <w:top w:val="none" w:sz="0" w:space="0" w:color="auto"/>
            <w:left w:val="none" w:sz="0" w:space="0" w:color="auto"/>
            <w:bottom w:val="none" w:sz="0" w:space="0" w:color="auto"/>
            <w:right w:val="none" w:sz="0" w:space="0" w:color="auto"/>
          </w:divBdr>
          <w:divsChild>
            <w:div w:id="1625892824">
              <w:marLeft w:val="0"/>
              <w:marRight w:val="0"/>
              <w:marTop w:val="0"/>
              <w:marBottom w:val="0"/>
              <w:divBdr>
                <w:top w:val="none" w:sz="0" w:space="0" w:color="auto"/>
                <w:left w:val="none" w:sz="0" w:space="0" w:color="auto"/>
                <w:bottom w:val="none" w:sz="0" w:space="0" w:color="auto"/>
                <w:right w:val="none" w:sz="0" w:space="0" w:color="auto"/>
              </w:divBdr>
            </w:div>
          </w:divsChild>
        </w:div>
        <w:div w:id="738135834">
          <w:marLeft w:val="0"/>
          <w:marRight w:val="0"/>
          <w:marTop w:val="0"/>
          <w:marBottom w:val="0"/>
          <w:divBdr>
            <w:top w:val="none" w:sz="0" w:space="0" w:color="auto"/>
            <w:left w:val="none" w:sz="0" w:space="0" w:color="auto"/>
            <w:bottom w:val="none" w:sz="0" w:space="0" w:color="auto"/>
            <w:right w:val="none" w:sz="0" w:space="0" w:color="auto"/>
          </w:divBdr>
          <w:divsChild>
            <w:div w:id="1925409170">
              <w:marLeft w:val="0"/>
              <w:marRight w:val="0"/>
              <w:marTop w:val="0"/>
              <w:marBottom w:val="0"/>
              <w:divBdr>
                <w:top w:val="none" w:sz="0" w:space="0" w:color="auto"/>
                <w:left w:val="none" w:sz="0" w:space="0" w:color="auto"/>
                <w:bottom w:val="none" w:sz="0" w:space="0" w:color="auto"/>
                <w:right w:val="none" w:sz="0" w:space="0" w:color="auto"/>
              </w:divBdr>
            </w:div>
          </w:divsChild>
        </w:div>
        <w:div w:id="1164665142">
          <w:marLeft w:val="0"/>
          <w:marRight w:val="0"/>
          <w:marTop w:val="0"/>
          <w:marBottom w:val="0"/>
          <w:divBdr>
            <w:top w:val="none" w:sz="0" w:space="0" w:color="auto"/>
            <w:left w:val="none" w:sz="0" w:space="0" w:color="auto"/>
            <w:bottom w:val="none" w:sz="0" w:space="0" w:color="auto"/>
            <w:right w:val="none" w:sz="0" w:space="0" w:color="auto"/>
          </w:divBdr>
          <w:divsChild>
            <w:div w:id="7230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686">
      <w:bodyDiv w:val="1"/>
      <w:marLeft w:val="0"/>
      <w:marRight w:val="0"/>
      <w:marTop w:val="0"/>
      <w:marBottom w:val="0"/>
      <w:divBdr>
        <w:top w:val="none" w:sz="0" w:space="0" w:color="auto"/>
        <w:left w:val="none" w:sz="0" w:space="0" w:color="auto"/>
        <w:bottom w:val="none" w:sz="0" w:space="0" w:color="auto"/>
        <w:right w:val="none" w:sz="0" w:space="0" w:color="auto"/>
      </w:divBdr>
    </w:div>
    <w:div w:id="1900243107">
      <w:bodyDiv w:val="1"/>
      <w:marLeft w:val="0"/>
      <w:marRight w:val="0"/>
      <w:marTop w:val="0"/>
      <w:marBottom w:val="0"/>
      <w:divBdr>
        <w:top w:val="none" w:sz="0" w:space="0" w:color="auto"/>
        <w:left w:val="none" w:sz="0" w:space="0" w:color="auto"/>
        <w:bottom w:val="none" w:sz="0" w:space="0" w:color="auto"/>
        <w:right w:val="none" w:sz="0" w:space="0" w:color="auto"/>
      </w:divBdr>
      <w:divsChild>
        <w:div w:id="109710093">
          <w:marLeft w:val="0"/>
          <w:marRight w:val="0"/>
          <w:marTop w:val="0"/>
          <w:marBottom w:val="0"/>
          <w:divBdr>
            <w:top w:val="none" w:sz="0" w:space="0" w:color="auto"/>
            <w:left w:val="none" w:sz="0" w:space="0" w:color="auto"/>
            <w:bottom w:val="none" w:sz="0" w:space="0" w:color="auto"/>
            <w:right w:val="none" w:sz="0" w:space="0" w:color="auto"/>
          </w:divBdr>
          <w:divsChild>
            <w:div w:id="136725406">
              <w:marLeft w:val="0"/>
              <w:marRight w:val="0"/>
              <w:marTop w:val="0"/>
              <w:marBottom w:val="0"/>
              <w:divBdr>
                <w:top w:val="none" w:sz="0" w:space="0" w:color="auto"/>
                <w:left w:val="none" w:sz="0" w:space="0" w:color="auto"/>
                <w:bottom w:val="none" w:sz="0" w:space="0" w:color="auto"/>
                <w:right w:val="none" w:sz="0" w:space="0" w:color="auto"/>
              </w:divBdr>
            </w:div>
            <w:div w:id="171992848">
              <w:marLeft w:val="0"/>
              <w:marRight w:val="0"/>
              <w:marTop w:val="0"/>
              <w:marBottom w:val="0"/>
              <w:divBdr>
                <w:top w:val="none" w:sz="0" w:space="0" w:color="auto"/>
                <w:left w:val="none" w:sz="0" w:space="0" w:color="auto"/>
                <w:bottom w:val="none" w:sz="0" w:space="0" w:color="auto"/>
                <w:right w:val="none" w:sz="0" w:space="0" w:color="auto"/>
              </w:divBdr>
            </w:div>
            <w:div w:id="297030275">
              <w:marLeft w:val="0"/>
              <w:marRight w:val="0"/>
              <w:marTop w:val="0"/>
              <w:marBottom w:val="0"/>
              <w:divBdr>
                <w:top w:val="none" w:sz="0" w:space="0" w:color="auto"/>
                <w:left w:val="none" w:sz="0" w:space="0" w:color="auto"/>
                <w:bottom w:val="none" w:sz="0" w:space="0" w:color="auto"/>
                <w:right w:val="none" w:sz="0" w:space="0" w:color="auto"/>
              </w:divBdr>
            </w:div>
            <w:div w:id="1305088962">
              <w:marLeft w:val="0"/>
              <w:marRight w:val="0"/>
              <w:marTop w:val="0"/>
              <w:marBottom w:val="0"/>
              <w:divBdr>
                <w:top w:val="none" w:sz="0" w:space="0" w:color="auto"/>
                <w:left w:val="none" w:sz="0" w:space="0" w:color="auto"/>
                <w:bottom w:val="none" w:sz="0" w:space="0" w:color="auto"/>
                <w:right w:val="none" w:sz="0" w:space="0" w:color="auto"/>
              </w:divBdr>
            </w:div>
          </w:divsChild>
        </w:div>
        <w:div w:id="115104282">
          <w:marLeft w:val="0"/>
          <w:marRight w:val="0"/>
          <w:marTop w:val="0"/>
          <w:marBottom w:val="0"/>
          <w:divBdr>
            <w:top w:val="none" w:sz="0" w:space="0" w:color="auto"/>
            <w:left w:val="none" w:sz="0" w:space="0" w:color="auto"/>
            <w:bottom w:val="none" w:sz="0" w:space="0" w:color="auto"/>
            <w:right w:val="none" w:sz="0" w:space="0" w:color="auto"/>
          </w:divBdr>
          <w:divsChild>
            <w:div w:id="721251629">
              <w:marLeft w:val="0"/>
              <w:marRight w:val="0"/>
              <w:marTop w:val="0"/>
              <w:marBottom w:val="0"/>
              <w:divBdr>
                <w:top w:val="none" w:sz="0" w:space="0" w:color="auto"/>
                <w:left w:val="none" w:sz="0" w:space="0" w:color="auto"/>
                <w:bottom w:val="none" w:sz="0" w:space="0" w:color="auto"/>
                <w:right w:val="none" w:sz="0" w:space="0" w:color="auto"/>
              </w:divBdr>
            </w:div>
          </w:divsChild>
        </w:div>
        <w:div w:id="183175564">
          <w:marLeft w:val="0"/>
          <w:marRight w:val="0"/>
          <w:marTop w:val="0"/>
          <w:marBottom w:val="0"/>
          <w:divBdr>
            <w:top w:val="none" w:sz="0" w:space="0" w:color="auto"/>
            <w:left w:val="none" w:sz="0" w:space="0" w:color="auto"/>
            <w:bottom w:val="none" w:sz="0" w:space="0" w:color="auto"/>
            <w:right w:val="none" w:sz="0" w:space="0" w:color="auto"/>
          </w:divBdr>
          <w:divsChild>
            <w:div w:id="988170085">
              <w:marLeft w:val="0"/>
              <w:marRight w:val="0"/>
              <w:marTop w:val="0"/>
              <w:marBottom w:val="0"/>
              <w:divBdr>
                <w:top w:val="none" w:sz="0" w:space="0" w:color="auto"/>
                <w:left w:val="none" w:sz="0" w:space="0" w:color="auto"/>
                <w:bottom w:val="none" w:sz="0" w:space="0" w:color="auto"/>
                <w:right w:val="none" w:sz="0" w:space="0" w:color="auto"/>
              </w:divBdr>
            </w:div>
          </w:divsChild>
        </w:div>
        <w:div w:id="300498518">
          <w:marLeft w:val="0"/>
          <w:marRight w:val="0"/>
          <w:marTop w:val="0"/>
          <w:marBottom w:val="0"/>
          <w:divBdr>
            <w:top w:val="none" w:sz="0" w:space="0" w:color="auto"/>
            <w:left w:val="none" w:sz="0" w:space="0" w:color="auto"/>
            <w:bottom w:val="none" w:sz="0" w:space="0" w:color="auto"/>
            <w:right w:val="none" w:sz="0" w:space="0" w:color="auto"/>
          </w:divBdr>
          <w:divsChild>
            <w:div w:id="205289961">
              <w:marLeft w:val="0"/>
              <w:marRight w:val="0"/>
              <w:marTop w:val="0"/>
              <w:marBottom w:val="0"/>
              <w:divBdr>
                <w:top w:val="none" w:sz="0" w:space="0" w:color="auto"/>
                <w:left w:val="none" w:sz="0" w:space="0" w:color="auto"/>
                <w:bottom w:val="none" w:sz="0" w:space="0" w:color="auto"/>
                <w:right w:val="none" w:sz="0" w:space="0" w:color="auto"/>
              </w:divBdr>
            </w:div>
          </w:divsChild>
        </w:div>
        <w:div w:id="998120557">
          <w:marLeft w:val="0"/>
          <w:marRight w:val="0"/>
          <w:marTop w:val="0"/>
          <w:marBottom w:val="0"/>
          <w:divBdr>
            <w:top w:val="none" w:sz="0" w:space="0" w:color="auto"/>
            <w:left w:val="none" w:sz="0" w:space="0" w:color="auto"/>
            <w:bottom w:val="none" w:sz="0" w:space="0" w:color="auto"/>
            <w:right w:val="none" w:sz="0" w:space="0" w:color="auto"/>
          </w:divBdr>
          <w:divsChild>
            <w:div w:id="1049381951">
              <w:marLeft w:val="0"/>
              <w:marRight w:val="0"/>
              <w:marTop w:val="0"/>
              <w:marBottom w:val="0"/>
              <w:divBdr>
                <w:top w:val="none" w:sz="0" w:space="0" w:color="auto"/>
                <w:left w:val="none" w:sz="0" w:space="0" w:color="auto"/>
                <w:bottom w:val="none" w:sz="0" w:space="0" w:color="auto"/>
                <w:right w:val="none" w:sz="0" w:space="0" w:color="auto"/>
              </w:divBdr>
            </w:div>
          </w:divsChild>
        </w:div>
        <w:div w:id="1118375791">
          <w:marLeft w:val="0"/>
          <w:marRight w:val="0"/>
          <w:marTop w:val="0"/>
          <w:marBottom w:val="0"/>
          <w:divBdr>
            <w:top w:val="none" w:sz="0" w:space="0" w:color="auto"/>
            <w:left w:val="none" w:sz="0" w:space="0" w:color="auto"/>
            <w:bottom w:val="none" w:sz="0" w:space="0" w:color="auto"/>
            <w:right w:val="none" w:sz="0" w:space="0" w:color="auto"/>
          </w:divBdr>
          <w:divsChild>
            <w:div w:id="299581576">
              <w:marLeft w:val="0"/>
              <w:marRight w:val="0"/>
              <w:marTop w:val="0"/>
              <w:marBottom w:val="0"/>
              <w:divBdr>
                <w:top w:val="none" w:sz="0" w:space="0" w:color="auto"/>
                <w:left w:val="none" w:sz="0" w:space="0" w:color="auto"/>
                <w:bottom w:val="none" w:sz="0" w:space="0" w:color="auto"/>
                <w:right w:val="none" w:sz="0" w:space="0" w:color="auto"/>
              </w:divBdr>
            </w:div>
          </w:divsChild>
        </w:div>
        <w:div w:id="1158571989">
          <w:marLeft w:val="0"/>
          <w:marRight w:val="0"/>
          <w:marTop w:val="0"/>
          <w:marBottom w:val="0"/>
          <w:divBdr>
            <w:top w:val="none" w:sz="0" w:space="0" w:color="auto"/>
            <w:left w:val="none" w:sz="0" w:space="0" w:color="auto"/>
            <w:bottom w:val="none" w:sz="0" w:space="0" w:color="auto"/>
            <w:right w:val="none" w:sz="0" w:space="0" w:color="auto"/>
          </w:divBdr>
          <w:divsChild>
            <w:div w:id="34014574">
              <w:marLeft w:val="0"/>
              <w:marRight w:val="0"/>
              <w:marTop w:val="0"/>
              <w:marBottom w:val="0"/>
              <w:divBdr>
                <w:top w:val="none" w:sz="0" w:space="0" w:color="auto"/>
                <w:left w:val="none" w:sz="0" w:space="0" w:color="auto"/>
                <w:bottom w:val="none" w:sz="0" w:space="0" w:color="auto"/>
                <w:right w:val="none" w:sz="0" w:space="0" w:color="auto"/>
              </w:divBdr>
            </w:div>
          </w:divsChild>
        </w:div>
        <w:div w:id="1365907669">
          <w:marLeft w:val="0"/>
          <w:marRight w:val="0"/>
          <w:marTop w:val="0"/>
          <w:marBottom w:val="0"/>
          <w:divBdr>
            <w:top w:val="none" w:sz="0" w:space="0" w:color="auto"/>
            <w:left w:val="none" w:sz="0" w:space="0" w:color="auto"/>
            <w:bottom w:val="none" w:sz="0" w:space="0" w:color="auto"/>
            <w:right w:val="none" w:sz="0" w:space="0" w:color="auto"/>
          </w:divBdr>
          <w:divsChild>
            <w:div w:id="232399957">
              <w:marLeft w:val="0"/>
              <w:marRight w:val="0"/>
              <w:marTop w:val="0"/>
              <w:marBottom w:val="0"/>
              <w:divBdr>
                <w:top w:val="none" w:sz="0" w:space="0" w:color="auto"/>
                <w:left w:val="none" w:sz="0" w:space="0" w:color="auto"/>
                <w:bottom w:val="none" w:sz="0" w:space="0" w:color="auto"/>
                <w:right w:val="none" w:sz="0" w:space="0" w:color="auto"/>
              </w:divBdr>
            </w:div>
          </w:divsChild>
        </w:div>
        <w:div w:id="1473522796">
          <w:marLeft w:val="0"/>
          <w:marRight w:val="0"/>
          <w:marTop w:val="0"/>
          <w:marBottom w:val="0"/>
          <w:divBdr>
            <w:top w:val="none" w:sz="0" w:space="0" w:color="auto"/>
            <w:left w:val="none" w:sz="0" w:space="0" w:color="auto"/>
            <w:bottom w:val="none" w:sz="0" w:space="0" w:color="auto"/>
            <w:right w:val="none" w:sz="0" w:space="0" w:color="auto"/>
          </w:divBdr>
          <w:divsChild>
            <w:div w:id="5404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5785">
      <w:bodyDiv w:val="1"/>
      <w:marLeft w:val="0"/>
      <w:marRight w:val="0"/>
      <w:marTop w:val="0"/>
      <w:marBottom w:val="0"/>
      <w:divBdr>
        <w:top w:val="none" w:sz="0" w:space="0" w:color="auto"/>
        <w:left w:val="none" w:sz="0" w:space="0" w:color="auto"/>
        <w:bottom w:val="none" w:sz="0" w:space="0" w:color="auto"/>
        <w:right w:val="none" w:sz="0" w:space="0" w:color="auto"/>
      </w:divBdr>
      <w:divsChild>
        <w:div w:id="736435500">
          <w:marLeft w:val="0"/>
          <w:marRight w:val="0"/>
          <w:marTop w:val="0"/>
          <w:marBottom w:val="0"/>
          <w:divBdr>
            <w:top w:val="none" w:sz="0" w:space="0" w:color="auto"/>
            <w:left w:val="none" w:sz="0" w:space="0" w:color="auto"/>
            <w:bottom w:val="none" w:sz="0" w:space="0" w:color="auto"/>
            <w:right w:val="none" w:sz="0" w:space="0" w:color="auto"/>
          </w:divBdr>
          <w:divsChild>
            <w:div w:id="1011830834">
              <w:marLeft w:val="0"/>
              <w:marRight w:val="0"/>
              <w:marTop w:val="0"/>
              <w:marBottom w:val="0"/>
              <w:divBdr>
                <w:top w:val="none" w:sz="0" w:space="0" w:color="auto"/>
                <w:left w:val="none" w:sz="0" w:space="0" w:color="auto"/>
                <w:bottom w:val="none" w:sz="0" w:space="0" w:color="auto"/>
                <w:right w:val="none" w:sz="0" w:space="0" w:color="auto"/>
              </w:divBdr>
            </w:div>
          </w:divsChild>
        </w:div>
        <w:div w:id="1017535780">
          <w:marLeft w:val="0"/>
          <w:marRight w:val="0"/>
          <w:marTop w:val="0"/>
          <w:marBottom w:val="0"/>
          <w:divBdr>
            <w:top w:val="none" w:sz="0" w:space="0" w:color="auto"/>
            <w:left w:val="none" w:sz="0" w:space="0" w:color="auto"/>
            <w:bottom w:val="none" w:sz="0" w:space="0" w:color="auto"/>
            <w:right w:val="none" w:sz="0" w:space="0" w:color="auto"/>
          </w:divBdr>
          <w:divsChild>
            <w:div w:id="329187673">
              <w:marLeft w:val="0"/>
              <w:marRight w:val="0"/>
              <w:marTop w:val="0"/>
              <w:marBottom w:val="0"/>
              <w:divBdr>
                <w:top w:val="none" w:sz="0" w:space="0" w:color="auto"/>
                <w:left w:val="none" w:sz="0" w:space="0" w:color="auto"/>
                <w:bottom w:val="none" w:sz="0" w:space="0" w:color="auto"/>
                <w:right w:val="none" w:sz="0" w:space="0" w:color="auto"/>
              </w:divBdr>
            </w:div>
          </w:divsChild>
        </w:div>
        <w:div w:id="1037584406">
          <w:marLeft w:val="0"/>
          <w:marRight w:val="0"/>
          <w:marTop w:val="0"/>
          <w:marBottom w:val="0"/>
          <w:divBdr>
            <w:top w:val="none" w:sz="0" w:space="0" w:color="auto"/>
            <w:left w:val="none" w:sz="0" w:space="0" w:color="auto"/>
            <w:bottom w:val="none" w:sz="0" w:space="0" w:color="auto"/>
            <w:right w:val="none" w:sz="0" w:space="0" w:color="auto"/>
          </w:divBdr>
          <w:divsChild>
            <w:div w:id="2114007659">
              <w:marLeft w:val="0"/>
              <w:marRight w:val="0"/>
              <w:marTop w:val="0"/>
              <w:marBottom w:val="0"/>
              <w:divBdr>
                <w:top w:val="none" w:sz="0" w:space="0" w:color="auto"/>
                <w:left w:val="none" w:sz="0" w:space="0" w:color="auto"/>
                <w:bottom w:val="none" w:sz="0" w:space="0" w:color="auto"/>
                <w:right w:val="none" w:sz="0" w:space="0" w:color="auto"/>
              </w:divBdr>
            </w:div>
          </w:divsChild>
        </w:div>
        <w:div w:id="1414818488">
          <w:marLeft w:val="0"/>
          <w:marRight w:val="0"/>
          <w:marTop w:val="0"/>
          <w:marBottom w:val="0"/>
          <w:divBdr>
            <w:top w:val="none" w:sz="0" w:space="0" w:color="auto"/>
            <w:left w:val="none" w:sz="0" w:space="0" w:color="auto"/>
            <w:bottom w:val="none" w:sz="0" w:space="0" w:color="auto"/>
            <w:right w:val="none" w:sz="0" w:space="0" w:color="auto"/>
          </w:divBdr>
          <w:divsChild>
            <w:div w:id="1324351744">
              <w:marLeft w:val="0"/>
              <w:marRight w:val="0"/>
              <w:marTop w:val="0"/>
              <w:marBottom w:val="0"/>
              <w:divBdr>
                <w:top w:val="none" w:sz="0" w:space="0" w:color="auto"/>
                <w:left w:val="none" w:sz="0" w:space="0" w:color="auto"/>
                <w:bottom w:val="none" w:sz="0" w:space="0" w:color="auto"/>
                <w:right w:val="none" w:sz="0" w:space="0" w:color="auto"/>
              </w:divBdr>
            </w:div>
          </w:divsChild>
        </w:div>
        <w:div w:id="1864246103">
          <w:marLeft w:val="0"/>
          <w:marRight w:val="0"/>
          <w:marTop w:val="0"/>
          <w:marBottom w:val="0"/>
          <w:divBdr>
            <w:top w:val="none" w:sz="0" w:space="0" w:color="auto"/>
            <w:left w:val="none" w:sz="0" w:space="0" w:color="auto"/>
            <w:bottom w:val="none" w:sz="0" w:space="0" w:color="auto"/>
            <w:right w:val="none" w:sz="0" w:space="0" w:color="auto"/>
          </w:divBdr>
          <w:divsChild>
            <w:div w:id="1022246098">
              <w:marLeft w:val="0"/>
              <w:marRight w:val="0"/>
              <w:marTop w:val="0"/>
              <w:marBottom w:val="0"/>
              <w:divBdr>
                <w:top w:val="none" w:sz="0" w:space="0" w:color="auto"/>
                <w:left w:val="none" w:sz="0" w:space="0" w:color="auto"/>
                <w:bottom w:val="none" w:sz="0" w:space="0" w:color="auto"/>
                <w:right w:val="none" w:sz="0" w:space="0" w:color="auto"/>
              </w:divBdr>
            </w:div>
          </w:divsChild>
        </w:div>
        <w:div w:id="1892037118">
          <w:marLeft w:val="0"/>
          <w:marRight w:val="0"/>
          <w:marTop w:val="0"/>
          <w:marBottom w:val="0"/>
          <w:divBdr>
            <w:top w:val="none" w:sz="0" w:space="0" w:color="auto"/>
            <w:left w:val="none" w:sz="0" w:space="0" w:color="auto"/>
            <w:bottom w:val="none" w:sz="0" w:space="0" w:color="auto"/>
            <w:right w:val="none" w:sz="0" w:space="0" w:color="auto"/>
          </w:divBdr>
          <w:divsChild>
            <w:div w:id="6222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tinyurl.com/gliconnectivity" TargetMode="External"/><Relationship Id="rId26" Type="http://schemas.openxmlformats.org/officeDocument/2006/relationships/hyperlink" Target="http://dx.doi.org/10.4102/ajlm.v5i3.498" TargetMode="External"/><Relationship Id="rId3" Type="http://schemas.openxmlformats.org/officeDocument/2006/relationships/customXml" Target="../customXml/item3.xml"/><Relationship Id="rId21" Type="http://schemas.openxmlformats.org/officeDocument/2006/relationships/hyperlink" Target="http://www.stoptb.org/wg/gli/gat.as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toptb.org/wg/gli/assets/documents/GLI_algorithms.pdf" TargetMode="External"/><Relationship Id="rId25" Type="http://schemas.openxmlformats.org/officeDocument/2006/relationships/hyperlink" Target="http://www.stoptb.org/wg/gli/assets/documents/TBMicroscopy_Network_Accreditation_Web.pdf"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stoptb.org/wg/gli/gat.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file:///C:\Users\Thomas\Desktop\FIND%202018\(http:\www.who.int\tb\publications\2012\tb_biosafety\en\)"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www.who.int/tb/publications/labindicators/en/"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toptb.org/wg/gli/ga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file:///C:\Users\Thomas\Desktop\FIND%202018\(http:\apps.who.int\iris\bitstream\10665\79199\1\9789241505345_eng.pdf%3fua=1)"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who.int/tb/publications/labindicators/en/" TargetMode="External"/><Relationship Id="rId3" Type="http://schemas.openxmlformats.org/officeDocument/2006/relationships/hyperlink" Target="https://doi.org/10.1093/infdis/jix335" TargetMode="External"/><Relationship Id="rId7" Type="http://schemas.openxmlformats.org/officeDocument/2006/relationships/hyperlink" Target="http://stoptb.org/wg/gli/gat.asp" TargetMode="External"/><Relationship Id="rId2" Type="http://schemas.openxmlformats.org/officeDocument/2006/relationships/hyperlink" Target="http://www.who.int/tb/publications/labindicators/en/" TargetMode="External"/><Relationship Id="rId1" Type="http://schemas.openxmlformats.org/officeDocument/2006/relationships/hyperlink" Target="http://www.who.int/tb/strategy/End_TB_Strategy.pdf" TargetMode="External"/><Relationship Id="rId6" Type="http://schemas.openxmlformats.org/officeDocument/2006/relationships/hyperlink" Target="http://apps.who.int/iris/bitstream/10665/79199/1/9789241505345_eng.pdf?ua=1" TargetMode="External"/><Relationship Id="rId5" Type="http://schemas.openxmlformats.org/officeDocument/2006/relationships/hyperlink" Target="http://www.ajlmonline.org/index.php/ajlm/article/view/498/712" TargetMode="External"/><Relationship Id="rId4" Type="http://schemas.openxmlformats.org/officeDocument/2006/relationships/hyperlink" Target="http://www.stoptb.org/wg/gli/assets/documents/TBMicroscopy_Network_Accreditation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B99A3A314996428D1F2798713C8E8C" ma:contentTypeVersion="12" ma:contentTypeDescription="Create a new document." ma:contentTypeScope="" ma:versionID="cfc51d916404fcdba0be94ea847bd804">
  <xsd:schema xmlns:xsd="http://www.w3.org/2001/XMLSchema" xmlns:xs="http://www.w3.org/2001/XMLSchema" xmlns:p="http://schemas.microsoft.com/office/2006/metadata/properties" xmlns:ns3="73779cc4-23f4-4de4-9a62-c44e0f142b78" xmlns:ns4="9e8c239a-dd6f-46e4-a255-76593288b034" targetNamespace="http://schemas.microsoft.com/office/2006/metadata/properties" ma:root="true" ma:fieldsID="e4b49be58a7c53f909f721b0b0660e4c" ns3:_="" ns4:_="">
    <xsd:import namespace="73779cc4-23f4-4de4-9a62-c44e0f142b78"/>
    <xsd:import namespace="9e8c239a-dd6f-46e4-a255-76593288b0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79cc4-23f4-4de4-9a62-c44e0f142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8c239a-dd6f-46e4-a255-76593288b0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942EA-AC8A-4CFD-A029-C719A6853D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F5232C-5B31-4815-8C4C-F6987C4EC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79cc4-23f4-4de4-9a62-c44e0f142b78"/>
    <ds:schemaRef ds:uri="9e8c239a-dd6f-46e4-a255-76593288b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A971D5-C668-4F4E-951A-FE1F7ABCAEA2}">
  <ds:schemaRefs>
    <ds:schemaRef ds:uri="http://schemas.microsoft.com/sharepoint/v3/contenttype/forms"/>
  </ds:schemaRefs>
</ds:datastoreItem>
</file>

<file path=customXml/itemProps4.xml><?xml version="1.0" encoding="utf-8"?>
<ds:datastoreItem xmlns:ds="http://schemas.openxmlformats.org/officeDocument/2006/customXml" ds:itemID="{2A43DF7C-AD84-466A-832E-B4569FFA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24</Pages>
  <Words>11186</Words>
  <Characters>63766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74803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Albert</dc:creator>
  <cp:keywords/>
  <dc:description/>
  <cp:lastModifiedBy>Zabsonre, Inoussa</cp:lastModifiedBy>
  <cp:revision>10</cp:revision>
  <cp:lastPrinted>2017-10-20T14:28:00Z</cp:lastPrinted>
  <dcterms:created xsi:type="dcterms:W3CDTF">2020-04-17T22:11:00Z</dcterms:created>
  <dcterms:modified xsi:type="dcterms:W3CDTF">2020-04-25T06:00:00Z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0x010100F8B99A3A314996428D1F2798713C8E8C</vt:lpwstr>
  </property>
</Properties>
</file>