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Etapanan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hasiendo ta pone nan sinti nan mes inkómodo, pa nan sorpresa, nan yunan por lo general no ta nota ku nan ta inkomodo i e yunan ta respondé hopi positivo na e atenshon akí.  </w:t>
      </w:r>
    </w:p>
    <w:p w14:paraId="0000000F">
      <w:pPr>
        <w:spacing w:after="200" w:line="288" w:lineRule="auto"/>
        <w:rPr>
          <w:color w:val="013d5c"/>
        </w:rPr>
        <w:pStyle w:val="P68B1DB1-Normal2"/>
      </w:pPr>
      <w:r>
        <w:t xml:space="preserve">Ta normal pa mayornan/edukadónan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mayornan/edukadónan tambe por permití nan yunan tuma e liderazgo. E hóbennan por skohe tokante kiko e aktividat òf kombersashon ta bai. E por asta nifiká ku e mayornan/edukadónan i hóbennan por pasa Tempu Huntu sintá banda di otro ta hasi aktividatnan paralelo ku opservashonnan okashonal.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por inisialmente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i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kustumá ku ta puntra nan nan opinion òf ku no ta kustuma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ei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