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Reetsa</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Ipake/Ikakgole</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