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>Zikhathalele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