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kugcina umntfwana wakho loseminyakeni yekutfomba aphephile futsi lamuhla sifundza ngekuphepha kwemphakatsi.</w:t>
            </w:r>
          </w:p>
          <w:p w14:paraId="000005FD">
            <w:pPr>
              <w:widowControl w:val="0"/>
              <w:spacing w:line="240" w:lineRule="auto"/>
              <w:rPr>
                <w:sz w:val="20"/>
                <w:szCs w:val="20"/>
              </w:rPr>
              <w:pStyle w:val="P68B1DB1-Normal1"/>
            </w:pPr>
            <w:r>
              <w:t xml:space="preserve">Lenye indlela longavikela ngayo umntfwana wakho kutsi wakhe luhlelo lwekuphepha naye. Ningabona ndzawonye kutsi ngutiphi tindzawo letiphephile naletingaphephile endzaweni yakini.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libalave lekuvikeleka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Kwemphakatsi</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