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Cabangani ndawonye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 isisombululo esiyi 1 bese usizame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 esyi 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uphinda uba nethuba, phida uzame isisombululo, uzibuze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imiphumela. </w:t>
            </w:r>
          </w:p>
          <w:p w14:paraId="000005C8">
            <w:pPr>
              <w:spacing w:after="240" w:before="240" w:line="240" w:lineRule="auto"/>
              <w:rPr>
                <w:sz w:val="20"/>
                <w:szCs w:val="20"/>
              </w:rPr>
              <w:pStyle w:val="P68B1DB1-Normal1"/>
            </w:pPr>
            <w:r>
              <w:t xml:space="preserve">Zonke izingane esezikhulile ziziphatha kabi ngezinye izikhathi. Kuyinto evamile ukuthi ngenkathi bethola bangobani nokuthi bangena kajani emhlabeni. Lelikhono lokukhulisa izingane limayelana nokukhuluma lapho izingane zethuziziphatha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imiphumela.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imiphumela iba nengqondo futhi ungayilandela. Isibonelo, thatha imidlalo yabo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