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Let op hoe jy voel.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Voel dit soms of jou gevoelens te veel raak?</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Hoe voel jy nou?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 xml:space="preserve">SIEN DIT</w:t>
            </w:r>
          </w:p>
          <w:p w14:paraId="39164A27" w14:textId="77777777">
            <w:pPr>
              <w:widowControl w:val="0"/>
              <w:rPr>
                <w:sz w:val="22"/>
                <w:szCs w:val="22"/>
              </w:rPr>
            </w:pPr>
          </w:p>
          <w:p w14:paraId="272799EE" w14:textId="77777777">
            <w:pPr>
              <w:widowControl w:val="0"/>
              <w:rPr>
                <w:sz w:val="22"/>
                <w:szCs w:val="22"/>
              </w:rPr>
              <w:pStyle w:val="P68B1DB1-Normale2"/>
            </w:pPr>
            <w:r>
              <w:t xml:space="preserve">SÊ DIT</w:t>
            </w:r>
          </w:p>
          <w:p w14:paraId="3548F82F" w14:textId="77777777">
            <w:pPr>
              <w:widowControl w:val="0"/>
              <w:rPr>
                <w:sz w:val="22"/>
                <w:szCs w:val="22"/>
              </w:rPr>
            </w:pPr>
          </w:p>
          <w:p w14:paraId="4B65E9CE" w14:textId="77777777">
            <w:pPr>
              <w:widowControl w:val="0"/>
              <w:rPr>
                <w:sz w:val="22"/>
                <w:szCs w:val="22"/>
              </w:rPr>
              <w:pStyle w:val="P68B1DB1-Normale2"/>
            </w:pPr>
            <w:r>
              <w:t xml:space="preserve">HERHAAL DIT</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SÊ DIT</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 xml:space="preserve">HERHAAL DIT</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Bly</w:t>
            </w:r>
          </w:p>
          <w:p w14:paraId="64CE6C6C" w14:textId="77777777">
            <w:r>
              <w:t>Hartseer</w:t>
            </w:r>
          </w:p>
          <w:p w14:paraId="5E2254F5" w14:textId="77777777">
            <w:r>
              <w:t>Kwaad</w:t>
            </w:r>
          </w:p>
          <w:p w14:paraId="66222028" w14:textId="77777777">
            <w:r>
              <w:t>Disgusted</w:t>
            </w:r>
          </w:p>
          <w:p w14:paraId="4638809D" w14:textId="77777777">
            <w:r>
              <w:t>Verras</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DEEL</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a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