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itulah yang akan menghasilkan perbezaan. ParentText akan memberi petua dan kemahiran kepada anda untuk menambah baik hubungan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adalah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ia boleh hilang. Tetapi dengan mengabaikan perasaan tersebut hanya membuatkan ia akan muncul semula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Lepaskan segala beban di dada anda dan biarkan ia pergi.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dengan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dapat membantu mengenal pasti nilai-nilai yang anda miliki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semaikan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serta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awak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balas - mereka mungkin perlukan masa untuk berfikir, terutamanya jika mereka memberi jawapan yang lebih panjang! Kadang-kadang walaupun selepas memberi mereka masa, sukar untuk mereka berkata apa yang mereka mahu.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balas. Sahkan apa yang mereka katakan dan tambah informasi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