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Bersama-sama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cabarna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Kursus ini terbahagi kepada beberapa matlamat keibubapaan untuk membantu anda
mengukuhkan hubungan dengan anak anda dan membantu mereka berkembang dengan baik.</w:t>
              <w:br/>
              <w:br/>
              <w:t xml:space="preserve">Cara melengkapkan kursus dan memperoleh Trofi Keibubapaan Positif anda.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dalam navigasi melalui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ia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berlaith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Terima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NPerhatikan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Disgusted</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meluahkannya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OPEN</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Music can make learning even more enjoyable!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If you can, cut them out and help your child sort them into groups, by colour, shape, size, or however else your child wants!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But, this will not teach them to solve their own problems.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secara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untuk mempelajari dengan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