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negatif. </w:t>
            </w:r>
          </w:p>
          <w:p w14:paraId="2A9D9FDD" w14:textId="77777777"/>
          <w:p w14:paraId="7C0A992E" w14:textId="77777777">
            <w:bookmarkStart w:id="61" w:name="_piu1724usnw8" w:colFirst="0" w:colLast="0"/>
            <w:bookmarkEnd w:id="61"/>
            <w:r>
              <w:t xml:space="preserve">Berikut adalah 4 langkah untuk alihkan kelakuan negatif: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Negatif</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negatif,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melakukan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Kami gembira dapat bersama anda sekali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berfungsi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mungkin mengenai mana-mana bahagian anggota badan mereka sendiri atau jantina lain - malah bahagian sulit!</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mereka.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 xml:space="preserve">BERTINDAK BALAS</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ke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impak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ke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melakukannya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ke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melakukannya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pakaian.</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melakukannya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melakukannya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 merancang belanjawan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menyimpan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Membeli haiwan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haiwan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perubahan!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melakukannya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