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bueno tenerte de nuevo por aquí en Crianza con Conciencia Positiva! </w:t>
              <w:br w:type="textWrapping"/>
              <w:br w:type="textWrapping"/>
              <w:t xml:space="preserve">Esta sesión trata sobre cómo ayudar a tu adolescente a aprender a trabajar con otras personas. </w:t>
            </w:r>
          </w:p>
          <w:p w14:paraId="0000000A">
            <w:pPr>
              <w:widowControl w:val="0"/>
            </w:pPr>
            <w:r>
              <w:t xml:space="preserve">Dar instrucciones efectivas y claras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Script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ESTABLECER METAS</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ESTABLECER METAS</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ESTABLECER METAS</w:t>
            </w:r>
          </w:p>
          <w:p w14:paraId="00000077">
            <w:pPr>
              <w:widowControl w:val="0"/>
              <w:spacing w:line="240" w:lineRule="auto"/>
            </w:pPr>
          </w:p>
          <w:p w14:paraId="00000078">
            <w:pPr>
              <w:widowControl w:val="0"/>
              <w:spacing w:line="240" w:lineRule="auto"/>
            </w:pPr>
            <w:r>
              <w:t xml:space="preserve">ACTIVIDAD PARA CASA: Crea al menos una regla familiar con tu adolescente</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¡qué bueno verte de nuevo por aquí en Crianza con Conciencia Positiva! Esta sesión trata sobre aprender a resolver problemas con tu adolescente.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Usar la violencia con nuestras y nuestros adolescentes solo empeora las cosas. También les enseña que está bien tratar así a las y los demás cuando sentimos enojo o molestia.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¡Te damos la bienvenida, de nuevo, a Crianza con Conciencia Positiva! Esta habilidad trata sobre cómo ayudar a nuestros adolescentes con el estrés.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las tareas del hogar,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las tareas del hogar,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Sé amable con tu adolescente y recuérdale que debe de ser amable con su persona también. Ten paciencia y dale tiempo para que sienta sus emociones y las pueda manejar. </w:t>
            </w:r>
          </w:p>
          <w:p w14:paraId="0000013A">
            <w:pPr>
              <w:widowControl w:val="0"/>
              <w:spacing w:line="240" w:lineRule="auto"/>
              <w:rPr>
                <w:highlight w:val="white"/>
              </w:rPr>
            </w:pPr>
          </w:p>
          <w:p w14:paraId="0000013B">
            <w:pPr>
              <w:widowControl w:val="0"/>
              <w:spacing w:line="240" w:lineRule="auto"/>
            </w:pPr>
            <w:r>
              <w:rPr>
                <w:highlight w:val="white"/>
              </w:rPr>
              <w:t xml:space="preserve">Usar la violencia con tu adolescente solo le enseñará a ser una persona violenta con las y los demás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nuestras y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HABLAR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HABLAR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HABLAR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 xml:space="preserve">HALAGAR EL ESFUERZO</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Enfócate en las cosas que tu adolescente hace bien, en lugar de solo corregirle por sus errores. Halaga a tu adolescente por todos sus esfuerzos, por pequeños que sean.</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 xml:space="preserve">HALAGAR EL ESFUERZO</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 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¡Qué gusto verte de nuevo por aquí en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Después, hablen sobre qué sitios o aplicaciones pueden ser inseguros o peligrosos. Discutan el por qué.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CREAR RUTINAS</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CREAR RUTINAS</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COMPROBARLO</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 las tareas del hogar.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 las tareas del hogar;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 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Hola, ¡regresaste a Crianza con Conciencia Positiva! ¡Fantástico! La sesión de hoy trata sobre cómo asegurar que tu adolescente esté a salvo mientras navega en internet.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COMPROBARLO</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COMPROBARLO</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HALAGAR EL ESFUERZO</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