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PENSAR,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hacen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PENSAR, ¿QUÉ TE DIRÍA UNA AMIGA O AMIGO?</w:t>
            </w:r>
          </w:p>
          <w:p w14:paraId="00000028">
            <w:pPr>
              <w:widowControl w:val="0"/>
              <w:spacing w:line="240" w:lineRule="auto"/>
            </w:pPr>
            <w:r>
              <w:t xml:space="preserve">Pregunta qué es lo que hace que tu adolescente se sienta así</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SER UN EJEMPLO A SEGUIR</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PENSAR,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Aprendamos más sobre esto.</w:t>
            </w:r>
          </w:p>
        </w:tc>
        <w:tc>
          <w:tcPr/>
          <w:p w14:paraId="0000006B">
            <w:pPr>
              <w:widowControl w:val="0"/>
            </w:pPr>
            <w:r>
              <w:t xml:space="preserve">Cultivar la Esperanza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¿Tienes tiempo para hacerlo hoy? </w:t>
            </w:r>
          </w:p>
          <w:p w14:paraId="00000091">
            <w:pPr>
              <w:widowControl w:val="0"/>
            </w:pPr>
          </w:p>
        </w:tc>
        <w:tc>
          <w:tcPr/>
          <w:p w14:paraId="00000092">
            <w:pPr>
              <w:widowControl w:val="0"/>
            </w:pPr>
            <w:r>
              <w:t xml:space="preserve">Feeling Hopeful about the Future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pequeños pasos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fuerte preocupación, por mucho tiempo, que dificulta el hacer cosas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Escoge una de las ideas que creas que es la que mejor se adapta al problema.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HABLAR Y ESCUCHAR</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HACER COSAS QUE TE GUSTEN</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BUSCAR APOYO</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 xml:space="preserve">RECARGAR PILAS</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¿Quieres conocer más? Let’s get going!</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WRITE OR DRAW </w:t>
            </w:r>
          </w:p>
          <w:p w14:paraId="000001D3">
            <w:pPr>
              <w:widowControl w:val="0"/>
            </w:pPr>
            <w:r>
              <w:t>DECIDIR</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WRITE OR DRAW </w:t>
            </w:r>
          </w:p>
          <w:p w14:paraId="000001FA">
            <w:pPr>
              <w:widowControl w:val="0"/>
            </w:pPr>
            <w:r>
              <w:t>DECIDIR</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Actividad para  Casa: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