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conocer más? ¡Avancemos!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BUSCAR APOYO</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ideas y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generar ideas y mantener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 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generar ideas y mantener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BUSCAR APOYO</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Respira y piensa: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BUSCAR APOYO</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aprender más sobre esto? ¡Empecemos!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ACEPTAR LOS RETOS</w:t>
            </w:r>
          </w:p>
          <w:p w14:paraId="000001D6">
            <w:pPr>
              <w:spacing w:line="240" w:lineRule="auto"/>
            </w:pPr>
            <w:r>
              <w:t xml:space="preserve">ACTUAR A TIEMPO</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 xml:space="preserve">ACEPTAR LOS RETOS</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ACEPTAR LOS RETOS</w:t>
            </w:r>
          </w:p>
          <w:p w14:paraId="000001FD">
            <w:pPr>
              <w:spacing w:line="240" w:lineRule="auto"/>
            </w:pPr>
            <w:r>
              <w:t xml:space="preserve">ACTUAR A TIEMPO</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