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niñas y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conseguir tu Certificado de Crianza Positiva y desbloquear nuevas funciones</w:t>
            </w:r>
          </w:p>
          <w:p w14:paraId="0A5C6BF4" w14:textId="77777777">
            <w:pPr>
              <w:numPr>
                <w:ilvl w:val="0"/>
                <w:numId w:val="6"/>
              </w:numPr>
            </w:pPr>
            <w:r>
              <w:t xml:space="preserve">Cómo monitorear tus avances</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Consigue tu Certificado</w:t>
            </w:r>
          </w:p>
          <w:p w14:paraId="2AFF7153" w14:textId="77777777">
            <w:pPr>
              <w:widowControl w:val="0"/>
              <w:numPr>
                <w:ilvl w:val="0"/>
                <w:numId w:val="1"/>
              </w:numPr>
            </w:pPr>
            <w:r>
              <w:t xml:space="preserve">Monitorea tus avances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