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Conseguir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Consigue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REPRODUCIR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Deja que escojan qué hacer o de qué hablar.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Cuando reconocemos a nuestras niñas y niños por portarse de manera adecuada, eso hace que quieran portarse así más seguido.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Asegúrate de que cuando reconoces a tu niña o niño, te enfocas en algo que ha hecho bien.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Una vez establecida la rutina, asegúrate de que tu niño o niña la siga a diario.</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Deja que escojan qué hacer o de qué hablar.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Cuando reconocemos a nuestro adolescente por portarse de manera adecuada, eso hace que quieran portarse así más seguido.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Asegúrate de que cuando reconoces a tu adolescente, te enfocas en algo que ha hecho bien.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Una vez establecida la rutina, asegúrate de que tu adolescente la siga a diario.</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