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that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aanraak, dat hulle vir jouself of 'n volwassene vertel wat hulle vertrou. </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Dan, neem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aanraak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Sê vir jou kind as hulle bekommerd, ongemaklik, of onveilig voel oor enige iemand wat aan hulle raak, dat hulle vir jou of 'n volwassene, wat hulle vertrou, moet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vir hulle sê dat dit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Teaching Safe Touch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al die hoof plekke in julle gemeenskap op die padkaart, soos julle huis, strate in julle buurt, kleuterskool, en enige ander plekke waarnatoe julle dalk mag gaan, in. [1] </w:t>
            </w:r>
          </w:p>
          <w:p w14:paraId="0000009C">
            <w:pPr>
              <w:widowControl w:val="0"/>
              <w:spacing w:line="240" w:lineRule="auto"/>
            </w:pPr>
          </w:p>
          <w:p w14:paraId="0000009D">
            <w:pPr>
              <w:widowControl w:val="0"/>
              <w:spacing w:line="240" w:lineRule="auto"/>
            </w:pPr>
            <w:r>
              <w:t xml:space="preserve">Teken en identifiseer foto's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met 'n skoon vel papier.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met die vorige vel papier.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nader-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met die vorige vel papier.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regte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met 'n skoon vel papier.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AF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met die vorige vel papier.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met die vorige vel papier.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jou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oor beide.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Basiese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Sê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veilige 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Basiese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