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BREATHE</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LISTEN</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BREATHE</w:t>
            </w:r>
          </w:p>
          <w:p w14:paraId="00000177">
            <w:pPr>
              <w:widowControl w:val="0"/>
              <w:spacing w:line="240" w:lineRule="auto"/>
            </w:pPr>
            <w:r>
              <w:t>LISTEN</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Let’s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