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[2]indlu yakho, isikolo, izitrato,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umehluko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edidekile, kodwa kuninzi onokukwenza ukumxhasa. Bafuna ukuba ubamkele uze ubathuthuzele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ubhalela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edidekile,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obuphathelele kwezesondo.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obuphathelele kwezesondo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ufanelwe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ithuku lakho. Xa uziva uhlaselwa ngamazwi okanye izenzo,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ukubaleka.</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ukufunde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nengxoxo malunga nokuba kutheni! [&lt;&lt;2]</w:t>
                </w:r>
              </w:p>
              <w:p w14:paraId="000000E0">
                <w:pPr>
                  <w:widowControl w:val="0"/>
                  <w:spacing w:line="276" w:lineRule="auto"/>
                </w:pPr>
                <w:r>
                  <w:t xml:space="preserve">[&gt;&gt;3]Nceda umntwana wakho ofikisayo afunde ukwenza amagama ayimfihlo aqinileyo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ngamagama ayimfihlo aqinileyo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Today, your[&lt;&lt;1&gt;&gt;2]home activity is to ask your teen what they do to stay safe online. Ungafumanisa ukuba bahlale becinga ngokhuseleko kwi intanethi.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Ukumisela imikhwa yokhuseleko kwi intanethi ekhayeni.</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Bangaze babelane ngenkcukatha zabo kwi gumbi lokuncokola labucala okanye nabantu abangaziwayo.</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Inombolo eziqinileyo zi:</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Ngokulandela lamanyathelo ungabakhusela kwaye uqinisekise ukuba ixesha labo kwi 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