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Welcome to ParentText! </w:t>
            </w:r>
          </w:p>
          <w:p w14:paraId="00000007"/>
          <w:p w14:paraId="00000008">
            <w:pPr>
              <w:rPr>
                <w:b w:val="1"/>
              </w:rPr>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Now, let’s see what a lesson in ParentText looks like. </w:t>
            </w:r>
          </w:p>
          <w:p w14:paraId="0000000E"/>
          <w:p w14:paraId="0000000F">
            <w:r>
              <w:t xml:space="preserve">You'll receive a daily notification to remind you to complete your lesson. And if you miss it, it is also okay! You can always return to ParentText anytime to catch up on your lesson.</w:t>
            </w:r>
          </w:p>
          <w:p w14:paraId="00000010"/>
          <w:p w14:paraId="00000011">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Molo!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and out;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and out;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and out;</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