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 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nokuba nomhlobo okuxhasayo ecaleni kwakho,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kubonakala ngathi ndingumntu, ndiyirobhothi eyenziwe yi-Parenting for Lifelong Health no-UNICEF 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zantsukuzonke zokuphucula ubudlelwanene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Ukuphucula Ubudlelwane Bam noMntwana Wam</w:t>
              <w:br w:type="textWrapping"/>
              <w:br w:type="textWrapping"/>
              <w:t xml:space="preserve">Ukuchitha Ixesaha Elikhethekileyo noMntwana Wam </w:t>
              <w:br w:type="textWrapping"/>
              <w:br w:type="textWrapping"/>
              <w:t xml:space="preserve">Ukuncoma </w:t>
              <w:br w:type="textWrapping"/>
              <w:br w:type="textWrapping"/>
              <w:t xml:space="preserve">Ukwakha Inkqubo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se-ParentText.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Iinkcukacha zakho zikhuselekile apha: Akukho nanye ekuzokwabelwana ngayo ngaphandle kwemvume yakho kwaye azizukuthengiswa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ngeMENYU.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masithi nqumama ngokukhawuleza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