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 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ukuba uphendula kanjani xa umntwana wakho esengxakini.</w:t>
            </w:r>
          </w:p>
          <w:p w14:paraId="0000010D">
            <w:pPr>
              <w:widowControl w:val="0"/>
              <w:spacing w:line="240" w:lineRule="auto"/>
            </w:pPr>
            <w:r>
              <w:t xml:space="preserve">Kubalulekile ukuxhasa umntwana wakho xa edibana nemeko enzima. Xa unceda umntwana wakho engxakini,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''Ingaba yintoni edingwa ngumntwana wam ngoku?''</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zisenzeka.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kumaxesha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ngezinto eninokuzenza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lwasekuhlaleni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njani xa umntwana wakho esengxakini.</w:t>
            </w:r>
          </w:p>
          <w:p w14:paraId="0000014A">
            <w:pPr>
              <w:widowControl w:val="0"/>
              <w:spacing w:line="240" w:lineRule="auto"/>
            </w:pPr>
            <w:r>
              <w:t xml:space="preserve">Kubalulekile ukuxhasa umntwana wakho xa eziva ekwimeko enzima. Xa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uba uziva 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neengozi. Ukugcina umntwana wakho ekhuselekile kwi intanethi linyathelo elibalulekileyo lokumnceda abeyinxalenye yehlabathi ledijithali.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bathetha okanye benze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wenzani ukuhlala ekhuselekile kwi intanethi. Ungafumanisa ukuba bahlale becinga ngokhuseleko kwi intanethi. </w:t>
            </w:r>
          </w:p>
          <w:p w14:paraId="000001B9">
            <w:pPr>
              <w:widowControl w:val="0"/>
            </w:pPr>
            <w:r>
              <w:t xml:space="preserve">Mncome umntwana wakho nageziphi na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ukumnceda abeyinxalenye yehlabathii ledijithali.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indlela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 kokuba ugcwalise ii fomu ezibuza ngenkcukacha, jonga ukuba i webhusayithi iqala ngo https://. Iiwebhusayithi eziqala ngo https:// zisenokungakhuseleki.</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dawunlode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Ninonke, jongani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ngakumbi ngezinto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nakwihlabathi ledijithali.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Okokuqala, yiba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ngeziphi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