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nomntwana wakho ninobabili. Ukuchitha isikhathi sekhwalithi nomntwana wakho kuzomenza azizwe abalulekile futhi athandwa. </w:t>
              <w:br w:type="textWrapping"/>
              <w:t xml:space="preserve">Kuzowaka ukwethembana nenhlonipho, futhi kweseka abantwana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nomntwana wakho::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Sissobabili Sodwa Nomntwana Wami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nomntwana wakho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umntwana wakho ukuthi uyafuna ukuchitha isikhathi ninodwa 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umntwana wakho akhethe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Nqekuzisa ikhanda noma uthi "Ngiyabona" ukutshengisa ukuthi umnakile ngempela.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Your home activity today is to try to praise your child during one-on-one time.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