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Heading21"/>
        <w:keepNext w:val="1"/>
        <w:keepLines w:val="1"/>
        <w:spacing w:after="200" w:line="288" w:lineRule="auto"/>
        <w:ind w:left="0" w:firstLine="0"/>
        <w:rPr>
          <w:color w:val="00b0f0"/>
        </w:rPr>
      </w:pPr>
      <w:bookmarkStart w:colFirst="0" w:colLast="0" w:name="_pbg43pgq05c" w:id="0"/>
      <w:bookmarkEnd w:id="0"/>
      <w:r>
        <w:t xml:space="preserve">A-E-K-P: Aseptá, Eksplorá, Konektá i Praktiká</w:t>
      </w:r>
    </w:p>
    <w:p w14:paraId="00000002">
      <w:pPr>
        <w:spacing w:after="200" w:line="288" w:lineRule="auto"/>
        <w:rPr>
          <w:color w:val="013d5c"/>
        </w:rPr>
        <w:pStyle w:val="P68B1DB1-Normal2"/>
      </w:pPr>
      <w:r>
        <w:t xml:space="preserve">E método di Aseptá, Eksplorá, Konektá i Praktiká (A-E-K-P) ta e téknika di fasilitashon prinsipal ku ta usa den e implementashon di e programa di Mayor Konektá. E ta enserá skuchamentu aktivo, fasilitashon den kolaborashon, krea konsientisashon propio, enfatisá prinsipionan sentral i permití oportunidatnan pa praktiká abilidatnan.</w:t>
      </w:r>
    </w:p>
    <w:p w14:paraId="00000003">
      <w:pPr>
        <w:spacing w:after="200" w:line="288" w:lineRule="auto"/>
        <w:rPr>
          <w:color w:val="013d5c"/>
        </w:rPr>
        <w:pStyle w:val="P68B1DB1-Normal2"/>
      </w:pPr>
      <w:r>
        <w:t xml:space="preserve">Ta importante pa bo duna ehèmpel di e aserkamentu aki durante henter e implementashon di Mayor Konektá!</w:t>
      </w:r>
    </w:p>
    <w:p w14:paraId="00000004">
      <w:pPr>
        <w:spacing w:after="200" w:line="288" w:lineRule="auto"/>
        <w:rPr>
          <w:color w:val="013d5c"/>
        </w:rPr>
        <w:pStyle w:val="P68B1DB1-Normal2"/>
      </w:pPr>
      <w:r>
        <w:t xml:space="preserve">A-E-K-P ta para pa e 4 pasonan klave pa fasilitá un diskushon ku mayornan:</w:t>
      </w:r>
    </w:p>
    <w:p w14:paraId="00000005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A = ASEPTÁ</w:t>
      </w:r>
    </w:p>
    <w:p w14:paraId="00000006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E = EKSPLORÁ</w:t>
      </w:r>
    </w:p>
    <w:p w14:paraId="00000007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K = KONEKTÁ</w:t>
      </w:r>
    </w:p>
    <w:p w14:paraId="00000008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P = PRAKTIKÁ</w:t>
      </w:r>
    </w:p>
    <w:p w14:paraId="00000009">
      <w:pPr>
        <w:spacing w:after="200" w:line="288" w:lineRule="auto"/>
        <w:rPr>
          <w:color w:val="013d5c"/>
        </w:rPr>
        <w:pStyle w:val="P68B1DB1-Normal2"/>
      </w:pPr>
      <w:r>
        <w:t xml:space="preserve">Por apliká A-K-E-P na kualke momentu durante e seshon, praktikando abilidatnan i durante reflekshon. Tambe ta importante pa bo duna ehèmpel di e A-E-K-P pa asina mayornan kuminsá hasi esaki ku nan mes yunan.</w:t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6.666666666666"/>
        <w:gridCol w:w="5503.333333333334"/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 = ASEPTÁ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Aseptando kontribushon di mayornan ta enkurashá nan pa kompartí i ta yuda krea konfiansa. E ta mustra ku bo ta skuchando i ku nan opinion ta konta. Esaki tambe ta un abilidat klave pa mayornan duna ehèmpel di dje na nan mes yunan.</w:t>
            </w:r>
          </w:p>
          <w:p w14:paraId="0000000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Formanan pa mustra aseptashon:</w:t>
            </w:r>
          </w:p>
          <w:p w14:paraId="0000000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Reflekshoná òf reformulá loke e mayor ta bisa pa mustra komprenshon.</w:t>
            </w:r>
          </w:p>
          <w:p w14:paraId="0000000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Gradisí i rekonosé nan kontribushonnan, spesialmente na momentu ku kompartí ta difísil.</w:t>
            </w:r>
          </w:p>
          <w:p w14:paraId="0000000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Usa lenguahe di kurpa positivo: sakudi kabes, tene kontakto visual, hala serka, usa nan nòmber.</w:t>
            </w:r>
          </w:p>
          <w:p w14:paraId="00000010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 for di un Práktika di Grupo (praktikando Tempu abo ku bo yu):  </w:t>
            </w:r>
          </w:p>
          <w:p w14:paraId="00000011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Kon bo a sinti pa ta e mayor ku ta permití bo “yu” tuma e liderazgo durante e seshon di práktika akí?  </w:t>
            </w:r>
          </w:p>
          <w:p w14:paraId="00000012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Mayor: Mi no tabata sinti mi kómodo na promé instante pasobra mi tabata ke bisa mi yu kiko pa hasi. Pero despues mi a wak mi “yu” i a kuminsá djis sigui loke e tabata ke hasi. </w:t>
            </w:r>
          </w:p>
          <w:p w14:paraId="00000013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Mi por komprondé ku bo lo sinti bo inkómodo na promé instante pasobra bo tabata ke dirigí e aktividat. Esaki ta perfektamente natural. Pero despues di un tempu bo por a permití bo “yu” tuma inisiativia den e aktividat i sigui su sugerensianan. Danki pa kompartí.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 = EKSPLORÁ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Eksplorando ta yuda nos komprondé e eksperensia di un mayor den mas detaye. E ta sostené solushonamentu di problema i ta yuda mayornan reflehá riba kon nan akshonnan ta afektá e komportashon di nan yu.</w:t>
            </w:r>
          </w:p>
          <w:p w14:paraId="00000016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Maneranan pa eksplorá:</w:t>
            </w:r>
          </w:p>
          <w:p w14:paraId="00000017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Hasi preguntanan habrí: Kiko a pasa? Ki ora? Na unda? Ken tabata enbolbí? Kon e tabata sinti?</w:t>
            </w:r>
          </w:p>
          <w:p w14:paraId="00000018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Eksplorá tantu e emoshonnan di e mayor komo di e yu (si ta apropiá).</w:t>
            </w:r>
          </w:p>
          <w:p w14:paraId="00000019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Ehèmpelnan di posibel preguntanan di EKSPLORASHON for di un diskushon anterior riba práktika di Tempu Abo ku bo Yu:  </w:t>
            </w:r>
          </w:p>
          <w:p w14:paraId="0000001A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Kon tabata pa sigui e ehèmpel di bo yu? Bo a nota algu diferente den e interakshon? Ki pensamentunan bo tabata eksperensiá? </w:t>
            </w:r>
          </w:p>
          <w:p w14:paraId="0000001B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Kon siguimentu di bo yu su guia a laga bo sinti? Kon bo ta kere ku el a laga bo yu sinti? </w:t>
            </w:r>
          </w:p>
          <w:p w14:paraId="0000001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D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 = KONEKTÁ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Konektá e eksperensia di e mayor ku prinsipionan òf temanan klave di edukashon familiar for di e seshon, manera e Kas di Sosten.</w:t>
            </w:r>
          </w:p>
          <w:p w14:paraId="0000001F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Esaki ta yuda mayornan komprondé nan eksperensia i mira kon e ta relashoná ku metanan di edukashon familiar mas amplio. E ta reforsá siñamentu tambe i ta hasié mas fásil pa kòrda e mensahenan klave.</w:t>
            </w:r>
          </w:p>
          <w:p w14:paraId="00000020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Enkurashá mayornan pa krea nan mes konekshonnan ku loke nan a siña.</w:t>
            </w:r>
          </w:p>
          <w:p w14:paraId="00000021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Maneranan pa konektá:</w:t>
            </w:r>
          </w:p>
          <w:p w14:paraId="00000022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Puntra: “Kiko nos por siña for di e eksperensia akí?”</w:t>
            </w:r>
          </w:p>
          <w:p w14:paraId="00000023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Para ketu i pone énfasis riba patronchinan òf temanan den vários historia di mayor</w:t>
            </w:r>
          </w:p>
          <w:p w14:paraId="00000024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Referí bèk na diskushonnan òf plachinan anterior (p.e., Kas di Sosten)</w:t>
            </w:r>
          </w:p>
          <w:p w14:paraId="0000002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Usa afirmashonnan manera: “Esei ta un tremendo ehèmpel di krea konfiansa ku bo yu.”</w:t>
            </w:r>
          </w:p>
          <w:p w14:paraId="00000026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 di un diskushon anterior tokante abilidatnan di práktika:  </w:t>
            </w:r>
          </w:p>
          <w:p w14:paraId="00000027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Kiko nos por siña for di e eksperensia akí? [Pidi kontesta di e grupo.]  </w:t>
            </w:r>
          </w:p>
          <w:p w14:paraId="00000028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Resumen: Dor di Pasa Tempu ku nos yunan i laga nan tuma e liderazgo, nos ta krea nan konfiansa i outo-estima. Tambe nan ta sinti nan stimá i apresiá ora nos simplemente nota kiko nan ta hasiendo ku nos atenshon kompletu. Esaki ta bai bèk na loke nos ta siñando den e promé parti di konstrukshon di nos Kas di Sosten – kon nos por fortalesé nos relashon ku nos yu. (Mustra òf referí bèk na e Komponentenan Básiko di e seshon tokante Tempu abo ku bo Yu.)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9">
            <w:pPr>
              <w:spacing w:after="200" w:line="288" w:lineRule="auto"/>
              <w:rPr>
                <w:color w:val="013d5c"/>
                <w:sz w:val="20"/>
                <w:szCs w:val="20"/>
              </w:rPr>
              <w:pStyle w:val="P68B1DB1-Normal2"/>
            </w:pPr>
            <w:r>
              <w:t xml:space="preserve">P = PRAKTIKÁ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A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Evidensia sientífiko ta bisa nos ku mayornan tin mas chèns di usa abilidatnan di edukashon familiar na kas si nan praktiká nan durante e seshon.</w:t>
            </w:r>
          </w:p>
          <w:p w14:paraId="0000002B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Esaki ta nifiká ku bo mester duna mayornan mas tantu oportunidat posibel pa praktiká abilidatnan klave, sea den Práktika den Grupo òf Práktika den Par.</w:t>
            </w:r>
          </w:p>
          <w:p w14:paraId="0000002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Práktika por sosodé tambe durante Reflekshonnan, manera ora un mayor ta kompartí un situashon difísil. Esaki ta permití e mayor pa praktiká un posibel solushon pa su situashon difísil promé ku purba esaki na kas ku su yu.</w:t>
            </w:r>
          </w:p>
        </w:tc>
      </w:tr>
    </w:tbl>
    <w:p w14:paraId="0000002D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paragraph" w:styleId="P68B1DB1-Heading21">
    <w:name w:val="P68B1DB1-Heading21"/>
    <w:basedOn w:val="Heading2"/>
    <w:rPr>
      <w:color w:val="00b0f0"/>
    </w:rPr>
  </w:style>
  <w:style w:type="paragraph" w:styleId="P68B1DB1-Normal2">
    <w:name w:val="P68B1DB1-Normal2"/>
    <w:basedOn w:val="Normal"/>
    <w:rPr>
      <w:color w:val="013d5c"/>
    </w:rPr>
  </w:style>
  <w:style w:type="paragraph" w:styleId="P68B1DB1-Normal3">
    <w:name w:val="P68B1DB1-Normal3"/>
    <w:basedOn w:val="Normal"/>
    <w:rPr>
      <w:color w:val="013d5c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