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Ke botle!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Mme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Mme</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Mme</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O entse hantle!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Ntate</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