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What would you like to 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Kwanini?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Sawa</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Hongera!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Sawa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Kwanini?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