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  <w:tblGridChange w:id="0">
          <w:tblGrid>
            <w:gridCol w:w="2151"/>
            <w:gridCol w:w="3692"/>
            <w:gridCol w:w="648"/>
            <w:gridCol w:w="3517"/>
          </w:tblGrid>
        </w:tblGridChange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Matériel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Pour chaque graphe dessiné, compter le nombre S de sommets, le nombre A d'arêtes et le nombre F de faces.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Discuter de la particularité des points sur le graphique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PAUSE VIDÉO</w:t>
              <w:br w:type="textWrapping"/>
              <w:t xml:space="preserve">Activité et discussion 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Tracer la droite qui passe par les points, où croise-t-elle l'axe vertical ?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PAUSE VIDÉO</w:t>
              <w:br w:type="textWrapping"/>
              <w:t xml:space="preserve">Discussion :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