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የቪዲዮ አርዕስት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እስረኞችና ከረሚላዎች</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የትምህርት ርዕስ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አመንክንዮ</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አላማ(ዎች)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ከጥያቄው ትርፍ መረጃ የመሰበሰብ ችሎታን ማሰልጠን፣በመለየት መስራት</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ርዝመት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 ደቂቃ</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የካምፕ አድራሻ</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አስተባባሪዎች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 ተማሪዎች ብዛት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ቀን</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አስፈላጊ</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መሳሪያዎች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እስኪርብቶ፣ ወረቀት፣ 11 ከረሚላዎች (ወይም ተተኪ ) ለ እነዳነዱ 4 አባል ላለው ቡድን</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ዝግጁነቶች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ለ 4 ቡድን መክፈል አማራጭ ነው፡- ቡድኖች መወዳደር አይገባቸውም የእያነዳነዳቸውን መልስ ለማሪጋገጥ ይረዳዳሉ አንጅ</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የቪዲዮ ጊዜ</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የአስተባባሪ ስራ</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የተማሪ ስራ</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አጠቃላይ የቨርቹዋል ሒሳባ ካምፕ ቪዲዮ ማሰታወቂያ</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ርዕስ እና ስዕሎች</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እንቆቅልሹን መጀመር</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የመጀመሪያውን ምከራ ማስተዋወቅ</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ቪዶውን ካዩ በኋላ</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ሂደቱን ማገዝ፣ ሃሳብን ማነሳሳት</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የመፈትሄ ሃሳብ ሲጠቆም ተማሪዎችን ተከታታይ ጥያቆዎችን በመጠየቅ እነዳነዱ መልስ ማብራሪያ እነዳለው ማረጋገጥ</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ከ እነቆቅልሹ ገለጻ ምን መረጃ እንደሚያገኙ መወያት</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የትኞቹ ሁኔታዎች እንደሚተው መለየት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አስቻይ መፍትሄዎችን ማወጅ</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“አንድ ወይም ከአንድ የሚበልጥ” መሆን አለበት! </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ተማሪዎች የሚረዱ ጥያቆዎች</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መፍትሄ</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ታሳሪ 2 ታሪ 1 ን ከሱ ቁጥር በላይ ከረሚላወች እነደሌሉት እነደማያውቅ ሲነግርው፣ ሁሉም ታሳሪዎች ታሪ ሁለት ቢያንስ 2 ከረሚላ እነዳለው ያውቃሉ፡፡  በመሰረቱ፣ ታሳሪ 2 ምንም ከረሚላ ከሌለው እነድህ ብሎ ይመልሳል  “አውቃለሁ ካነተ በላይ እነደሌለኝ”፡፡</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ታሳሪ 3 ታሪ 2 ን ከሱ በላይ ቁጥር ከረሚላ እነዳለው ወይም እነደሌለው እነደማያውቅ ሲነግረው፣ ሁሉም ታሳሪ 3 ቢያንስ 3 ከረሚላዊች እነዳሉት ያውቃሉ፡፡ በመሰረቱ፣ ታሳሪ 3 አንድ ወይም ሁለት ከረሚላ ቢኖረው እነድህ ብሎ ይመልሳል  “አውቃለሁ ካነተ በላይ እነደሌለኝ”፡፡</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አሁን ታሳሪ 2 ቢያነስ አንድ ከረሚላ እነዳለው እና ታሪ 3 ቢያንስ ሁለት ከረሚላዎች እንዳሉት፣ እና የተቀሩት አራቱ በሁሉም በሚቻል መንገዶች ሊከፋፈሉ ይችላሉ፡፡  ታሳሪ 4 ለሌሎቹ አያንዳነዱ ታሳሪ ስንት ከረሚላወች እነዳሉት እነደማያውቅ ሲነገራቸው፣ ታሳሪ 4 የተቀሩትን አራቱን እነዳለው እውቃለን፣ ይህ መረጃወቹን የሚይዝ ብቸኛው መንገድ ስለሆነ፡፡</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ስለዚህ መልሱ የአራቱ ታሳሪ ከረሚላዎች (0,1,2,4) ናቸው፡፡</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