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የቪዲዮ አርዕስት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እነቆቀልሽ  #3 ተጫዋቾቹ የሂሳብ ሊቆች</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የትምህርት ርዕስ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አመንክንዮ</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አላማ(ዎች)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ከጥያቄው ትርፍ መረጃ የመሰበሰብ ችሎታን ማሰልጠን፣በመለየት መስራት</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ርዝመት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25 ደቂቃ</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የካምፕ አድራሻ</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አስተባባሪዎች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 ተማሪዎች ብዛት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ቀን</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አስፈላጊ</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መሳሪያዎች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እስኪርብቶ፣ ወረቀት</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ዝግጁነቶች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ምንም</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የቪዲዮ ጊዜ</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የአስተባባሪ ስራ</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የተማሪ ስራ</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አጠቃላይ የቨርቹዋል ሒሳባ ካምፕ ቪዲዮ ማሰታወቂያ</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ቪዲዮ ማሰታወቂያ</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እንቆቅልሽ</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ቪዶው ካለቀ በኋላ</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ማነሳሳት</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የመፈትሄ ሃሳብ ሲጠቆም ተማሪዎችን ተከታታይ ጥያቆዎችን በመጠየቅ እነዳነዱ መልስ ማብራሪያ እነዳለው ማረጋገጥ</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ከ እነቆቅልሹ ገለጻ ምን መረጃ እንደሚያገኙ መወያት</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የትኞቹ ሁኔታዎች እንደሚተው መለየት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አስቻይ መፍትሄዎችን ማወጅ</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መፍትሄ</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ያሉት አማራጮች  (ቅደም ተከተሉ ለውጥ አያመጣም) አነዚህ ናቸው፡-</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