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የቪድዮ አርዕስት</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 xml:space="preserve">የትምህርት ርዕስ</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ሒሳባዊ እሳቤ</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አላማ (ዎች)</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የካመፑ አደራሻ</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የ ተማሪዎች ብዛት</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ቀን</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አስፈላጊ </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ዠግጁነቶች</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አስተያየቶች</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አጠቃላይ ቨርችዋል ሂሳብ ካምፕ ማስተዋወቅ</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ቪዶውን ማስተዋወቅ</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ስለሁለተኛው  ሙከራ ማስተዋወቅ</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ለምን?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ማጠቃለያ</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