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Airport Problem</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