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Titre de la vidéo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Probabilité conditionnelle... et magie !</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Rubrique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Pensée mathématique</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Ce que vous savez d'un problème vous oriente vers la bonne solution : la probabilité conditionnelle vous explique pourquoi. Mais ce n'est pas tout : découvrons ensemble comment le même concept peut être appliqué à des contextes moins intuitifs - et quelque peu magiques.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45 minutes</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Lieu du camp</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Des étudiants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Par groupe d'apprenants : jeu de cartes, 2 ou 3 feuilles de papier vierge et un stylo.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Vidéo générale introduisant le CVM</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Video d'introduction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Pourquoi?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