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Titre de la vidéo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Tension de la surface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Rubrique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Chimie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Objectif(s)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Apprenez la nature de la tension de surface dans l'eau et ses modifications avec les objets de tous les jours.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Durée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45 minutes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Lieu du camp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Animateurs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des étudiants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Les ressources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nécessaires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Fixé pour chaque groupe d'étudiants : un verre ou une tasse, une assiette, un bâton, savon, eau, café, poivre noir. Les plaques et l'eau devraient être propres.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Préparations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Aucun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Temps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font les apprenants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Vidéo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Matériel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de la première expérimentation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PAUSE VIDÉO</w:t>
              <w:br w:type="textWrapping"/>
              <w:t xml:space="preserve">Expérience :</w:t>
              <w:br w:type="textWrapping"/>
              <w:t xml:space="preserve">Remplir les verres d'eau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Aider le processus, provoquer des réflexions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Remplissez les verres ou les tasses jusqu'au bord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 the effects of surface tension (curved water surface).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de la deuxième expérience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layer of water on top of the plates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some black pepper or coffee on top of the water. Observe the uniform distribution of the particles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Put a drop of soap on the tip of the sticks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 the water surface with the stick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As coffees are mixtures and their composition can vary, some coffee can react poorly during the experiment.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After the experiment, the distribution of particles cannot be further modified with the same method.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 repeat the experiment, first, clean the plate thoroughly.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discussion: why are the coffee/pepper particles pushed to the plate edge? What is the role of soap?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Facilitate the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