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Titre de la vidéo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Rubrique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Objectif(s)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Durée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45 minutes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Lieu du camp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Animateurs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des étudiants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Les ressources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nécessaires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Préparations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Temps de la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font les apprenants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Commentaires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Matériel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de la première expérimentation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