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Titolo del Video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Rompicapo #3 I matematici giocosi</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Argomento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Logica</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Obiettivo/i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Formare la capacità di estrapolare informazioni da un problema, lavorare per esclusione.</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Lunghezza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Posizione del Campo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Mediatori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di studenti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Data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Risorse</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necessarie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Penna, Carta</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Preparazioni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Nessuna</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Tempo del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Cosa fa il facilitatore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Cosa fanno gli studenti</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Introduzione Generale al Video di VMC</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Introduzione al Video</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Enigma</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Dopo la fine del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Assiste il processo, causa pensieri</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Quando è suggerita una possibile soluzione, chiede di mettere in atto le serie di domande nel caso della soluzione suggerita e controlla che ogni risposta sia spiegabile.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Discutono quali informazioni possono ottenere dalla dichiarazione dell'enigma</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Indicano quali casi sono escludibili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Mette in atto le soluzioni possibili</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Soluzione</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Le opzioni possibili sono (l'ordine non importa):</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Somma</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Per convincere qualcuno che queste siano tutte le opzioni, si può vedere che 36 è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it"/>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