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tbl>
      <w:tblPr>
        <w:tblStyle w:val="Table1"/>
        <w:tblW w:w="10008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2151"/>
        <w:gridCol w:w="3692"/>
        <w:gridCol w:w="648"/>
        <w:gridCol w:w="3517"/>
      </w:tblGrid>
      <w:tr>
        <w:trPr>
          <w:trHeight w:val="343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2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Titre de la vidéo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Topologie : La relation d'Euler – la preuve (EXTRA)</w:t>
            </w:r>
          </w:p>
        </w:tc>
      </w:tr>
      <w:tr>
        <w:trPr>
          <w:trHeight w:val="2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6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Sujet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7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Géométrie</w:t>
            </w:r>
          </w:p>
        </w:tc>
      </w:tr>
      <w:tr>
        <w:trPr>
          <w:trHeight w:val="9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Objectif(s)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Avoir une idée de la preuve de la relation d'Euler ; aborder le raisonnement par récurrence ; appréhender les raisonnements à partir de dessins de graphes.</w:t>
            </w:r>
          </w:p>
        </w:tc>
      </w:tr>
      <w:tr>
        <w:trPr>
          <w:trHeight w:val="2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Durée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15min</w:t>
            </w:r>
          </w:p>
        </w:tc>
      </w:tr>
      <w:tr>
        <w:trPr>
          <w:trHeight w:val="483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2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Localisation du camp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Assistant·e·s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A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N. d'étudiant·e·s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E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Date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</w:tr>
      <w:tr>
        <w:trPr>
          <w:trHeight w:val="4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Matériel requis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Papier, crayon</w:t>
            </w:r>
          </w:p>
        </w:tc>
      </w:tr>
      <w:tr>
        <w:trPr>
          <w:trHeight w:val="595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Préparation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Vidéo VMC : “Topologie : la relation d'Euler”</w:t>
            </w:r>
          </w:p>
        </w:tc>
      </w:tr>
      <w:tr>
        <w:trPr>
          <w:trHeight w:val="330" w:hRule="atLeast"/>
        </w:trPr>
        <w:tc>
          <w:tcPr>
            <w:gridSpan w:val="4"/>
            <w:tcBorders>
              <w:top w:color="000001" w:space="0" w:sz="4" w:val="single"/>
              <w:bottom w:color="000001" w:space="0" w:sz="4" w:val="single"/>
            </w:tcBorders>
            <w:shd w:fill="ffffff" w:val="clear"/>
          </w:tcPr>
          <w:p w14:paraId="0000002A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Temps vidéo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Ce que l'assistant·e fait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Ce que les étudiant·e·s font</w:t>
            </w: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2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00:00 - 00:26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3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Introducion générale vidéo VMC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34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6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00:27 - 01:05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7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Introduction de la vidéo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38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A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01:06 - 02:21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B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Initialisation de la récurrence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3C"/>
        </w:tc>
      </w:tr>
      <w:tr>
        <w:trPr>
          <w:trHeight w:val="280" w:hRule="atLeast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E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02:22 - 05:34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F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>
              <w:rPr>
                <w:rFonts w:ascii="Calibri" w:hAnsi="Calibri" w:cs="Calibri" w:eastAsia="Calibri"/>
              </w:rPr>
              <w:t xml:space="preserve">Étape de récurrence : premier cas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40"/>
        </w:tc>
      </w:tr>
      <w:tr>
        <w:trPr>
          <w:trHeight w:val="280" w:hRule="atLeast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2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05:35 - 10:18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3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>
              <w:rPr>
                <w:rFonts w:ascii="Calibri" w:hAnsi="Calibri" w:cs="Calibri" w:eastAsia="Calibri"/>
              </w:rPr>
              <w:t xml:space="preserve">Étape de récurrence : second cas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44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6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10:19 - 10:59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7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Conclusion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48"/>
        </w:tc>
      </w:tr>
    </w:tbl>
    <w:p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432" w:right="0" w:hanging="432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24" w:right="0" w:hanging="324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16" w:right="0" w:hanging="216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8" w:right="0" w:hanging="108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sectPr>
      <w:headerReference r:id="rId6" w:type="default"/>
      <w:footerReference r:id="rId7" w:type="default"/>
      <w:pgSz w:h="16838" w:w="11906" w:orient="portrait"/>
      <w:pgMar w:bottom="777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04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04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sw-KE"/>
      </w:rPr>
    </w:rPrDefault>
    <w:pPrDefault>
      <w:pPr>
        <w:shd w:fill="ffffff" w:val="clea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