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Titre de la vidéo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pStyle w:val="Heading1"/>
              <w:spacing w:after="120" w:before="240" w:lineRule="auto"/>
              <w:rPr>
                <w:rFonts w:ascii="Roboto" w:cs="Roboto" w:eastAsia="Roboto" w:hAnsi="Roboto"/>
                <w:b w:val="1"/>
                <w:i w:val="0"/>
                <w:smallCaps w:val="0"/>
                <w:sz w:val="22"/>
                <w:szCs w:val="22"/>
              </w:rPr>
            </w:pPr>
            <w:r>
              <w:rPr>
                <w:rFonts w:ascii="Roboto" w:hAnsi="Roboto" w:cs="Roboto" w:eastAsia="Roboto"/>
                <w:b w:val="1"/>
                <w:i w:val="0"/>
                <w:smallCaps w:val="0"/>
                <w:sz w:val="22"/>
                <w:szCs w:val="22"/>
              </w:rPr>
              <w:t xml:space="preserve">Puzzle n°3 Les mathématiciens joueurs</w:t>
            </w:r>
          </w:p>
          <w:p w14:paraId="0000000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06"/>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Rubrique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Logique</w:t>
            </w:r>
          </w:p>
        </w:tc>
        <w:tc>
          <w:tcPr>
            <w:shd w:fill="ffffff" w:val="clear"/>
            <w:tcMar>
              <w:left w:w="0.0" w:type="dxa"/>
              <w:right w:w="0.0" w:type="dxa"/>
            </w:tcMar>
          </w:tcPr>
          <w:p w14:paraId="0000000A"/>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Objectif(s)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Former la capacité d’extrapoler des informations à partir d’un problème, de travailler par exclusion.</w:t>
            </w:r>
          </w:p>
        </w:tc>
        <w:tc>
          <w:tcPr>
            <w:shd w:fill="ffffff" w:val="clear"/>
            <w:tcMar>
              <w:left w:w="0.0" w:type="dxa"/>
              <w:right w:w="0.0" w:type="dxa"/>
            </w:tcMar>
          </w:tcPr>
          <w:p w14:paraId="0000000E"/>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Durée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25min</w:t>
            </w:r>
          </w:p>
        </w:tc>
        <w:tc>
          <w:tcPr>
            <w:shd w:fill="ffffff" w:val="clear"/>
            <w:tcMar>
              <w:left w:w="0.0" w:type="dxa"/>
              <w:right w:w="0.0" w:type="dxa"/>
            </w:tcMar>
          </w:tcPr>
          <w:p w14:paraId="00000012"/>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Lieu du camp</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6"/>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Animateurs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A"/>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des étudiants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E"/>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2"/>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Les ressources</w:t>
            </w:r>
          </w:p>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nécessaires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Stylo, Papier</w:t>
            </w:r>
          </w:p>
        </w:tc>
        <w:tc>
          <w:tcPr>
            <w:shd w:fill="ffffff" w:val="clear"/>
            <w:tcMar>
              <w:left w:w="0.0" w:type="dxa"/>
              <w:right w:w="0.0" w:type="dxa"/>
            </w:tcMar>
          </w:tcPr>
          <w:p w14:paraId="00000027"/>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Préparations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Aucune</w:t>
            </w:r>
          </w:p>
        </w:tc>
        <w:tc>
          <w:tcPr>
            <w:shd w:fill="ffffff" w:val="clear"/>
            <w:tcMar>
              <w:left w:w="0.0" w:type="dxa"/>
              <w:right w:w="0.0" w:type="dxa"/>
            </w:tcMar>
          </w:tcPr>
          <w:p w14:paraId="0000002B"/>
        </w:tc>
      </w:tr>
      <w:tr>
        <w:trPr>
          <w:trHeight w:val="330" w:hRule="atLeast"/>
        </w:trPr>
        <w:tc>
          <w:tcPr>
            <w:gridSpan w:val="4"/>
            <w:tcBorders>
              <w:top w:color="000001" w:space="0" w:sz="4" w:val="single"/>
              <w:bottom w:color="000001" w:space="0" w:sz="4" w:val="single"/>
            </w:tcBorders>
            <w:shd w:fill="ffffff" w:val="clear"/>
          </w:tcPr>
          <w:p w14:paraId="0000002C"/>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Temps de la vidéo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Ce que fait le facilitateur</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Ce que font les apprenants</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5">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Vidéo générale introduisant le CVM</w:t>
            </w:r>
          </w:p>
        </w:tc>
        <w:tc>
          <w:tcPr>
            <w:shd w:fill="ffffff" w:val="clear"/>
            <w:tcMar>
              <w:left w:w="0.0" w:type="dxa"/>
              <w:right w:w="0.0" w:type="dxa"/>
            </w:tcMar>
          </w:tcPr>
          <w:p w14:paraId="00000037"/>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00:27 - 00:46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d'introduction</w:t>
            </w:r>
          </w:p>
        </w:tc>
        <w:tc>
          <w:tcPr>
            <w:shd w:fill="ffffff" w:val="clear"/>
            <w:tcMar>
              <w:left w:w="0.0" w:type="dxa"/>
              <w:right w:w="0.0" w:type="dxa"/>
            </w:tcMar>
          </w:tcPr>
          <w:p w14:paraId="0000003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00:47 - 02:11</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D">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Énigme</w:t>
            </w:r>
          </w:p>
        </w:tc>
        <w:tc>
          <w:tcPr>
            <w:shd w:fill="ffffff" w:val="clear"/>
            <w:tcMar>
              <w:left w:w="0.0" w:type="dxa"/>
              <w:right w:w="0.0" w:type="dxa"/>
            </w:tcMar>
          </w:tcPr>
          <w:p w14:paraId="0000003F"/>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Après la fin de la vidéo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1">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Faciliter le processus, susciter des pensées</w:t>
            </w:r>
          </w:p>
          <w:p w14:paraId="00000042">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Lorsqu'une solution possible est suggérée, demander aux apprenants de répondre à la série de questions dans le cas de la solution suggérée et de vérifier que chaque réponse peut être expliquée.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Se demander quelles informations ils peuvent obtenir de l’énoncé de l'énigme</w:t>
            </w:r>
          </w:p>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Déterminer quels sont les cas pouvant être exclus </w:t>
            </w:r>
          </w:p>
          <w:p w14:paraId="00000045">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Proposer des solutions possibles</w:t>
            </w:r>
          </w:p>
        </w:tc>
      </w:tr>
    </w:tbl>
    <w:p w14:paraId="0000004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9">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A">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B">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C">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D">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E">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1">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2">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Solution</w:t>
      </w:r>
    </w:p>
    <w:p w14:paraId="00000054">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5">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Les options possibles sont (l'ordre n'a pas d'importance) :</w:t>
      </w:r>
    </w:p>
    <w:p w14:paraId="00000056">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bookmarkStart w:colFirst="0" w:colLast="0" w:name="gjdgxs" w:id="0"/>
    <w:bookmarkEnd w:id="0"/>
    <w:p w14:paraId="00000057">
      <w:pPr>
        <w:widowControl w:val="0"/>
        <w:ind w:left="108" w:right="0" w:hanging="108"/>
      </w:pPr>
    </w:p>
    <w:tbl>
      <w:tblPr>
        <w:tblStyle w:val="Table2"/>
        <w:tblW w:w="10010.0" w:type="dxa"/>
        <w:jc w:val="left"/>
        <w:tblInd w:w="218.99999999999997" w:type="dxa"/>
        <w:tblLayout w:type="fixed"/>
        <w:tblLook w:val="0000"/>
      </w:tblPr>
      <w:tblGrid>
        <w:gridCol w:w="2854"/>
        <w:gridCol w:w="2845"/>
        <w:gridCol w:w="2806"/>
        <w:gridCol w:w="1505"/>
      </w:tblGrid>
      <w:tr>
        <w:tc>
          <w:tcPr>
            <w:shd w:fill="ffffff" w:val="clear"/>
            <w:vAlign w:val="center"/>
          </w:tcPr>
          <w:p w14:paraId="0000005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A</w:t>
            </w:r>
          </w:p>
        </w:tc>
        <w:tc>
          <w:tcPr>
            <w:shd w:fill="ffffff" w:val="clear"/>
            <w:vAlign w:val="center"/>
          </w:tcPr>
          <w:p w14:paraId="0000005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B</w:t>
            </w:r>
          </w:p>
        </w:tc>
        <w:tc>
          <w:tcPr>
            <w:shd w:fill="ffffff" w:val="clear"/>
            <w:vAlign w:val="center"/>
          </w:tcPr>
          <w:p w14:paraId="0000005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C</w:t>
            </w:r>
          </w:p>
        </w:tc>
        <w:tc>
          <w:tcPr>
            <w:shd w:fill="ffffff" w:val="clear"/>
            <w:vAlign w:val="center"/>
          </w:tcPr>
          <w:p w14:paraId="0000005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 xml:space="preserve">La somme</w:t>
            </w:r>
          </w:p>
        </w:tc>
      </w:tr>
      <w:tr>
        <w:tc>
          <w:tcPr>
            <w:shd w:fill="ffffff" w:val="clear"/>
            <w:vAlign w:val="center"/>
          </w:tcPr>
          <w:p w14:paraId="0000005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5D">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5E">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36</w:t>
            </w:r>
          </w:p>
        </w:tc>
        <w:tc>
          <w:tcPr>
            <w:shd w:fill="ffffff" w:val="clear"/>
            <w:vAlign w:val="center"/>
          </w:tcPr>
          <w:p w14:paraId="0000005F">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38</w:t>
            </w:r>
          </w:p>
        </w:tc>
      </w:tr>
      <w:tr>
        <w:tc>
          <w:tcPr>
            <w:shd w:fill="ffffff" w:val="clear"/>
            <w:vAlign w:val="center"/>
          </w:tcPr>
          <w:p w14:paraId="00000060">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1">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2">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18</w:t>
            </w:r>
          </w:p>
        </w:tc>
        <w:tc>
          <w:tcPr>
            <w:shd w:fill="ffffff" w:val="clear"/>
            <w:vAlign w:val="center"/>
          </w:tcPr>
          <w:p w14:paraId="00000063">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21</w:t>
            </w:r>
          </w:p>
        </w:tc>
      </w:tr>
      <w:tr>
        <w:tc>
          <w:tcPr>
            <w:shd w:fill="ffffff" w:val="clear"/>
            <w:vAlign w:val="center"/>
          </w:tcPr>
          <w:p w14:paraId="00000064">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5">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6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12</w:t>
            </w:r>
          </w:p>
        </w:tc>
        <w:tc>
          <w:tcPr>
            <w:shd w:fill="ffffff" w:val="clear"/>
            <w:vAlign w:val="center"/>
          </w:tcPr>
          <w:p w14:paraId="0000006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16</w:t>
            </w:r>
          </w:p>
        </w:tc>
      </w:tr>
      <w:tr>
        <w:tc>
          <w:tcPr>
            <w:shd w:fill="ffffff" w:val="clear"/>
            <w:vAlign w:val="center"/>
          </w:tcPr>
          <w:p w14:paraId="0000006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tc>
        <w:tc>
          <w:tcPr>
            <w:shd w:fill="ffffff" w:val="clear"/>
            <w:vAlign w:val="center"/>
          </w:tcPr>
          <w:p w14:paraId="0000006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c>
          <w:tcPr>
            <w:shd w:fill="ffffff" w:val="clear"/>
            <w:vAlign w:val="center"/>
          </w:tcPr>
          <w:p w14:paraId="0000006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14</w:t>
            </w:r>
          </w:p>
        </w:tc>
      </w:tr>
      <w:tr>
        <w:tc>
          <w:tcPr>
            <w:shd w:fill="ffffff" w:val="clear"/>
            <w:vAlign w:val="center"/>
          </w:tcPr>
          <w:p w14:paraId="0000006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D">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E">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c>
          <w:tcPr>
            <w:shd w:fill="ffffff" w:val="clear"/>
            <w:vAlign w:val="center"/>
          </w:tcPr>
          <w:p w14:paraId="0000006F">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ff0000"/>
                <w:sz w:val="22"/>
                <w:szCs w:val="22"/>
                <w:u w:val="none"/>
                <w:shd w:fill="auto" w:val="clear"/>
                <w:vertAlign w:val="baseline"/>
              </w:rPr>
            </w:pPr>
            <w:r>
              <w:rPr>
                <w:rFonts w:ascii="Arial" w:hAnsi="Arial" w:cs="Arial" w:eastAsia="Arial"/>
                <w:b w:val="1"/>
                <w:i w:val="0"/>
                <w:smallCaps w:val="0"/>
                <w:strike w:val="0"/>
                <w:color w:val="ff0000"/>
                <w:sz w:val="22"/>
                <w:szCs w:val="22"/>
                <w:u w:val="none"/>
                <w:shd w:fill="auto" w:val="clear"/>
                <w:vertAlign w:val="baseline"/>
              </w:rPr>
              <w:t>13</w:t>
            </w:r>
          </w:p>
        </w:tc>
      </w:tr>
      <w:tr>
        <w:tc>
          <w:tcPr>
            <w:shd w:fill="ffffff" w:val="clear"/>
            <w:vAlign w:val="center"/>
          </w:tcPr>
          <w:p w14:paraId="00000070">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71">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2">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3">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11</w:t>
            </w:r>
          </w:p>
        </w:tc>
      </w:tr>
      <w:tr>
        <w:tc>
          <w:tcPr>
            <w:shd w:fill="ffffff" w:val="clear"/>
            <w:vAlign w:val="center"/>
          </w:tcPr>
          <w:p w14:paraId="00000074">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75">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ff0000"/>
                <w:sz w:val="22"/>
                <w:szCs w:val="22"/>
                <w:u w:val="none"/>
                <w:shd w:fill="auto" w:val="clear"/>
                <w:vertAlign w:val="baseline"/>
              </w:rPr>
            </w:pPr>
            <w:r>
              <w:rPr>
                <w:rFonts w:ascii="Arial" w:hAnsi="Arial" w:cs="Arial" w:eastAsia="Arial"/>
                <w:b w:val="1"/>
                <w:i w:val="0"/>
                <w:smallCaps w:val="0"/>
                <w:strike w:val="0"/>
                <w:color w:val="ff0000"/>
                <w:sz w:val="22"/>
                <w:szCs w:val="22"/>
                <w:u w:val="none"/>
                <w:shd w:fill="auto" w:val="clear"/>
                <w:vertAlign w:val="baseline"/>
              </w:rPr>
              <w:t>13</w:t>
            </w:r>
          </w:p>
        </w:tc>
      </w:tr>
      <w:tr>
        <w:tc>
          <w:tcPr>
            <w:shd w:fill="ffffff" w:val="clear"/>
            <w:vAlign w:val="center"/>
          </w:tcPr>
          <w:p w14:paraId="0000007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tc>
        <w:tc>
          <w:tcPr>
            <w:shd w:fill="ffffff" w:val="clear"/>
            <w:vAlign w:val="center"/>
          </w:tcPr>
          <w:p w14:paraId="0000007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10</w:t>
            </w:r>
          </w:p>
        </w:tc>
      </w:tr>
    </w:tbl>
    <w:p w14:paraId="0000007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bookmarkStart w:colFirst="0" w:colLast="0" w:name="30j0zll" w:id="1"/>
    <w:bookmarkEnd w:id="1"/>
    <w:p w14:paraId="0000007D">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Afin de convaincre quelqu’un que ce sont toutes les options, on peut voir que 36 est 3222. Après cela, vous pouvez écrire chaque facteur sur une feuille de papier et avec les feuilles, vous pouvez essayer de former 3 groupes. Un groupe vide signifie un.</w:t>
      </w:r>
    </w:p>
    <w:p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Essayez également de commencer par </w:t>
      </w:r>
      <w:r>
        <w:rPr>
          <w:rFonts w:ascii="Arial" w:hAnsi="Arial" w:cs="Arial" w:eastAsia="Arial"/>
          <w:b w:val="1"/>
          <w:i w:val="0"/>
          <w:smallCaps w:val="0"/>
          <w:strike w:val="0"/>
          <w:color w:val="000000"/>
          <w:sz w:val="22"/>
          <w:szCs w:val="22"/>
          <w:u w:val="none"/>
          <w:shd w:fill="auto" w:val="clear"/>
          <w:vertAlign w:val="baseline"/>
        </w:rPr>
        <w:t xml:space="preserve">1 1 36</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puis diminuez progressivement le dernier chiffre.</w:t>
      </w:r>
    </w:p>
    <w:p w14:paraId="0000007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Le tableau ci-dessus représente ce que l'on sait grâce aux réponses données par le deuxième mathématicien (Fil).</w:t>
      </w:r>
    </w:p>
    <w:p w14:paraId="0000008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Mais une autre information importante est que le premier mathématicien (Mike) n'est pas capable de connaître la bonne combinaison, </w:t>
      </w:r>
      <w:r>
        <w:rPr>
          <w:rFonts w:ascii="Arial" w:hAnsi="Arial" w:cs="Arial" w:eastAsia="Arial"/>
          <w:b w:val="0"/>
          <w:i w:val="0"/>
          <w:smallCaps w:val="0"/>
          <w:strike w:val="0"/>
          <w:color w:val="000000"/>
          <w:sz w:val="22"/>
          <w:szCs w:val="22"/>
          <w:u w:val="single"/>
          <w:shd w:fill="auto" w:val="clear"/>
          <w:vertAlign w:val="baseline"/>
        </w:rPr>
        <w:t xml:space="preserve">même s'il connaît la valeur réelle de la somme !</w:t>
      </w:r>
    </w:p>
    <w:p w14:paraId="00000083">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Cela ne peut arriver que si le nombre correspondant à la bonne somme apparaît plus d’une fois dans la liste ! (sinon il aurait deviné les bons nombres après la deuxième question) Donc, la somme doit être 13, et les combinaisons correspondantes sont :</w:t>
      </w:r>
    </w:p>
    <w:p w14:paraId="0000008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tbl>
      <w:tblPr>
        <w:tblStyle w:val="Table3"/>
        <w:tblW w:w="8506.0" w:type="dxa"/>
        <w:jc w:val="left"/>
        <w:tblInd w:w="0.0" w:type="dxa"/>
        <w:tblLayout w:type="fixed"/>
        <w:tblLook w:val="0000"/>
      </w:tblPr>
      <w:tblGrid>
        <w:gridCol w:w="2855"/>
        <w:gridCol w:w="2826"/>
        <w:gridCol w:w="2825"/>
      </w:tblGrid>
      <w:tr>
        <w:tc>
          <w:tcPr>
            <w:shd w:fill="ffffff" w:val="clear"/>
            <w:vAlign w:val="center"/>
          </w:tcPr>
          <w:p w14:paraId="0000008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8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8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r>
    </w:tbl>
    <w:p w14:paraId="0000008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tbl>
      <w:tblPr>
        <w:tblStyle w:val="Table4"/>
        <w:tblW w:w="8468.0" w:type="dxa"/>
        <w:jc w:val="left"/>
        <w:tblInd w:w="0.0" w:type="dxa"/>
        <w:tblLayout w:type="fixed"/>
        <w:tblLook w:val="0000"/>
      </w:tblPr>
      <w:tblGrid>
        <w:gridCol w:w="2855"/>
        <w:gridCol w:w="2826"/>
        <w:gridCol w:w="2787"/>
      </w:tblGrid>
      <w:tr>
        <w:tc>
          <w:tcPr>
            <w:shd w:fill="ffffff" w:val="clear"/>
            <w:vAlign w:val="center"/>
          </w:tcPr>
          <w:p w14:paraId="0000008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ff0000"/>
                <w:sz w:val="22"/>
                <w:szCs w:val="22"/>
                <w:u w:val="none"/>
                <w:shd w:fill="auto" w:val="clear"/>
                <w:vertAlign w:val="baseline"/>
              </w:rPr>
            </w:pPr>
            <w:r>
              <w:rPr>
                <w:rFonts w:ascii="Arial" w:hAnsi="Arial" w:cs="Arial" w:eastAsia="Arial"/>
                <w:b w:val="0"/>
                <w:i w:val="0"/>
                <w:smallCaps w:val="0"/>
                <w:strike w:val="0"/>
                <w:color w:val="ff0000"/>
                <w:sz w:val="22"/>
                <w:szCs w:val="22"/>
                <w:u w:val="none"/>
                <w:shd w:fill="auto" w:val="clear"/>
                <w:vertAlign w:val="baseline"/>
              </w:rPr>
              <w:t>1</w:t>
            </w:r>
          </w:p>
        </w:tc>
        <w:tc>
          <w:tcPr>
            <w:shd w:fill="ffffff" w:val="clear"/>
            <w:vAlign w:val="center"/>
          </w:tcPr>
          <w:p w14:paraId="0000008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8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r>
    </w:tbl>
    <w:p w14:paraId="0000008D">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Le dernier indice est que le plus jeune enfant a les yeux bleus.</w:t>
      </w:r>
    </w:p>
    <w:p w14:paraId="0000008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 que nous retenons de cet indice, c'est que nous savons désormais qu'un plus jeune enfant existe !</w:t>
      </w:r>
    </w:p>
    <w:p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w:t>
      </w:r>
      <w:r>
        <w:rPr>
          <w:rFonts w:ascii="Arial" w:hAnsi="Arial" w:cs="Arial" w:eastAsia="Arial"/>
          <w:b w:val="1"/>
          <w:i w:val="0"/>
          <w:smallCaps w:val="0"/>
          <w:strike w:val="0"/>
          <w:color w:val="000000"/>
          <w:sz w:val="22"/>
          <w:szCs w:val="22"/>
          <w:u w:val="none"/>
          <w:shd w:fill="auto" w:val="clear"/>
          <w:vertAlign w:val="baseline"/>
        </w:rPr>
        <w:t xml:space="preserve">2 2 9</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n'est pas possible et </w:t>
      </w:r>
      <w:r>
        <w:rPr>
          <w:rFonts w:ascii="Arial" w:hAnsi="Arial" w:cs="Arial" w:eastAsia="Arial"/>
          <w:b w:val="1"/>
          <w:i w:val="0"/>
          <w:smallCaps w:val="0"/>
          <w:strike w:val="0"/>
          <w:color w:val="000000"/>
          <w:sz w:val="22"/>
          <w:szCs w:val="22"/>
          <w:u w:val="none"/>
          <w:shd w:fill="auto" w:val="clear"/>
          <w:vertAlign w:val="baseline"/>
        </w:rPr>
        <w:t xml:space="preserve">1 6 6</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est la seule option restante.</w:t>
      </w:r>
    </w:p>
    <w:p w14:paraId="0000009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2">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CellMar>
        <w:top w:w="28.0" w:type="dxa"/>
        <w:left w:w="28.0" w:type="dxa"/>
        <w:bottom w:w="28.0" w:type="dxa"/>
        <w:right w:w="28.0" w:type="dxa"/>
      </w:tblCellMar>
    </w:tblPr>
  </w:style>
  <w:style w:type="table" w:styleId="Table4">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