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44"/>
        <w:gridCol w:w="3715"/>
        <w:gridCol w:w="2941"/>
        <w:gridCol w:w="69"/>
        <w:gridCol w:w="1439"/>
      </w:tblGrid>
      <w:tr>
        <w:trPr>
          <w:trHeight w:val="34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2">
            <w:pPr>
              <w:jc w:val="center"/>
            </w:pPr>
            <w:r>
              <w:rPr>
                <w:rFonts w:ascii="Calibri" w:hAnsi="Calibri" w:cs="Calibri" w:eastAsia="Calibri"/>
                <w:color w:val="000000"/>
                <w:sz w:val="22"/>
                <w:szCs w:val="22"/>
                <w:u w:val="none"/>
              </w:rPr>
              <w:t xml:space="preserve">Titre de la vidéo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Probabilité conditionnelle... et magie !</w:t>
            </w:r>
          </w:p>
        </w:tc>
      </w:tr>
      <w:tr>
        <w:trPr>
          <w:trHeight w:val="2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7">
            <w:pPr>
              <w:jc w:val="center"/>
            </w:pPr>
            <w:r>
              <w:rPr>
                <w:rFonts w:ascii="Calibri" w:hAnsi="Calibri" w:cs="Calibri" w:eastAsia="Calibri"/>
                <w:color w:val="000000"/>
                <w:sz w:val="22"/>
                <w:szCs w:val="22"/>
                <w:u w:val="none"/>
              </w:rPr>
              <w:t>Rubrique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8">
            <w:pPr>
              <w:jc w:val="center"/>
            </w:pPr>
            <w:r>
              <w:rPr>
                <w:rFonts w:ascii="Calibri" w:hAnsi="Calibri" w:cs="Calibri" w:eastAsia="Calibri"/>
                <w:color w:val="000000"/>
                <w:sz w:val="22"/>
                <w:szCs w:val="22"/>
                <w:u w:val="none"/>
              </w:rPr>
              <w:t xml:space="preserve">Pensée mathématique</w:t>
            </w:r>
          </w:p>
        </w:tc>
      </w:tr>
      <w:tr>
        <w:trPr>
          <w:trHeight w:val="9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Objectif(s)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vous savez d'un problème vous oriente vers la bonne solution : la probabilité conditionnelle vous explique pourquoi. Mais ce n'est pas tout : découvrons ensemble comment le même concept peut être appliqué à des contextes moins intuitifs - et quelque peu magiques.</w:t>
            </w:r>
          </w:p>
        </w:tc>
      </w:tr>
      <w:tr>
        <w:trPr>
          <w:trHeight w:val="2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Durée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45 minutes</w:t>
            </w:r>
          </w:p>
        </w:tc>
      </w:tr>
      <w:tr>
        <w:trPr>
          <w:trHeight w:val="48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6">
            <w:pPr>
              <w:jc w:val="center"/>
            </w:pPr>
            <w:r>
              <w:rPr>
                <w:rFonts w:ascii="Calibri" w:hAnsi="Calibri" w:cs="Calibri" w:eastAsia="Calibri"/>
                <w:color w:val="000000"/>
                <w:sz w:val="22"/>
                <w:szCs w:val="22"/>
                <w:u w:val="none"/>
              </w:rPr>
              <w:t xml:space="preserve">Lieu du camp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Animateurs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0">
            <w:pPr>
              <w:jc w:val="center"/>
            </w:pPr>
            <w:r>
              <w:rPr>
                <w:rFonts w:ascii="Calibri" w:hAnsi="Calibri" w:cs="Calibri" w:eastAsia="Calibri"/>
                <w:color w:val="000000"/>
                <w:sz w:val="22"/>
                <w:szCs w:val="22"/>
                <w:u w:val="none"/>
              </w:rPr>
              <w:t xml:space="preserve">N. Des étudiants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5">
            <w:pPr>
              <w:jc w:val="center"/>
            </w:pPr>
            <w:r>
              <w:rPr>
                <w:rFonts w:ascii="Calibri" w:hAnsi="Calibri" w:cs="Calibri" w:eastAsia="Calibri"/>
                <w:color w:val="000000"/>
                <w:sz w:val="22"/>
                <w:szCs w:val="22"/>
                <w:u w:val="none"/>
              </w:rPr>
              <w:t>Date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Les ressources</w:t>
            </w:r>
          </w:p>
          <w:p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nécessaires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Par groupe d'apprenants : jeu de cartes, 2 ou 3 feuilles de papier vierge et un stylo. Un tableau serait utile.</w:t>
            </w:r>
          </w:p>
        </w:tc>
      </w:tr>
      <w:tr>
        <w:trPr>
          <w:trHeight w:val="59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Préparations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Les apprenants seront divisés en groupes de deux. Si leur nombre est impair, il y aura un groupe de trois apprenants.</w:t>
            </w:r>
          </w:p>
        </w:tc>
      </w:tr>
      <w:tr>
        <w:trPr>
          <w:trHeight w:val="330" w:hRule="atLeast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14:paraId="00000035"/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14:paraId="00000039"/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Temps de la vidéo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fait le facilitateur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font les apprenants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Commentaires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F">
            <w:pPr>
              <w:jc w:val="center"/>
            </w:pPr>
            <w:r>
              <w:rPr>
                <w:rFonts w:ascii="Calibri" w:hAnsi="Calibri" w:cs="Calibri" w:eastAsia="Calibri"/>
                <w:color w:val="000000"/>
                <w:sz w:val="22"/>
                <w:szCs w:val="22"/>
                <w:u w:val="none"/>
              </w:rPr>
              <w:t xml:space="preserve">00:00 - 00:26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0">
            <w:pPr>
              <w:jc w:val="center"/>
            </w:pPr>
            <w:r>
              <w:rPr>
                <w:rFonts w:ascii="Calibri" w:hAnsi="Calibri" w:cs="Calibri" w:eastAsia="Calibri"/>
                <w:color w:val="000000"/>
                <w:sz w:val="22"/>
                <w:szCs w:val="22"/>
                <w:u w:val="none"/>
              </w:rPr>
              <w:t xml:space="preserve">Vidéo générale introduisant le CVM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4">
            <w:pPr>
              <w:jc w:val="center"/>
            </w:pPr>
            <w:r>
              <w:rPr>
                <w:rFonts w:ascii="Calibri" w:hAnsi="Calibri" w:cs="Calibri" w:eastAsia="Calibri"/>
                <w:color w:val="000000"/>
                <w:sz w:val="22"/>
                <w:szCs w:val="22"/>
                <w:u w:val="none"/>
              </w:rPr>
              <w:t xml:space="preserve">00:27 - 00:37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5">
            <w:pPr>
              <w:jc w:val="center"/>
            </w:pPr>
            <w:r>
              <w:rPr>
                <w:rFonts w:ascii="Calibri" w:hAnsi="Calibri" w:cs="Calibri" w:eastAsia="Calibri"/>
                <w:color w:val="000000"/>
                <w:sz w:val="22"/>
                <w:szCs w:val="22"/>
                <w:u w:val="none"/>
              </w:rPr>
              <w:t xml:space="preserve">Vidéo d'introduction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9">
            <w:pPr>
              <w:jc w:val="center"/>
            </w:pPr>
            <w:r>
              <w:rPr>
                <w:rFonts w:ascii="Calibri" w:hAnsi="Calibri" w:cs="Calibri" w:eastAsia="Calibri"/>
                <w:color w:val="000000"/>
                <w:sz w:val="22"/>
                <w:szCs w:val="22"/>
                <w:u w:val="none"/>
              </w:rPr>
              <w:t xml:space="preserve">00:38 - 01:06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A">
            <w:pPr>
              <w:jc w:val="center"/>
            </w:pPr>
            <w:r>
              <w:rPr>
                <w:rFonts w:ascii="Calibri" w:hAnsi="Calibri" w:cs="Calibri" w:eastAsia="Calibri"/>
                <w:color w:val="000000"/>
                <w:sz w:val="22"/>
                <w:szCs w:val="22"/>
                <w:u w:val="none"/>
              </w:rPr>
              <w:t>Matériel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14:paraId="0000004C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z w:val="22"/>
                <w:szCs w:val="22"/>
              </w:rPr>
              <w:t xml:space="preserve">Au lieu de colorier les quatre voitures vous-même, vous pouvez prendre deux cartes noires et deux cartes rouges dans un jeu de cartes.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E">
            <w:pP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u w:val="none"/>
              </w:rPr>
            </w:pPr>
            <w:r>
              <w:rPr>
                <w:rFonts w:ascii="Calibri" w:hAnsi="Calibri" w:cs="Calibri" w:eastAsia="Calibri"/>
                <w:color w:val="000000"/>
                <w:sz w:val="22"/>
                <w:szCs w:val="22"/>
                <w:u w:val="none"/>
              </w:rPr>
              <w:t xml:space="preserve">01:07 - 02:14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F">
            <w:pP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u w:val="none"/>
              </w:rPr>
            </w:pPr>
            <w:r>
              <w:rPr>
                <w:rFonts w:ascii="Calibri" w:hAnsi="Calibri" w:cs="Calibri" w:eastAsia="Calibri"/>
                <w:color w:val="000000"/>
                <w:sz w:val="22"/>
                <w:szCs w:val="22"/>
                <w:u w:val="none"/>
              </w:rPr>
              <w:t xml:space="preserve">Explication générale de la probabilité conditionnelle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3">
            <w:pPr>
              <w:jc w:val="center"/>
            </w:pPr>
            <w:r>
              <w:rPr>
                <w:rFonts w:ascii="Calibri" w:hAnsi="Calibri" w:cs="Calibri" w:eastAsia="Calibri"/>
                <w:color w:val="000000"/>
                <w:sz w:val="22"/>
                <w:szCs w:val="22"/>
                <w:u w:val="none"/>
              </w:rPr>
              <w:t xml:space="preserve">02:15 - 02:42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4">
            <w:pPr>
              <w:jc w:val="center"/>
            </w:pPr>
            <w:r>
              <w:rPr>
                <w:rFonts w:ascii="Calibri" w:hAnsi="Calibri" w:cs="Calibri" w:eastAsia="Calibri"/>
                <w:color w:val="000000"/>
                <w:sz w:val="22"/>
                <w:szCs w:val="22"/>
                <w:u w:val="none"/>
              </w:rPr>
              <w:t xml:space="preserve">Introduction de la première expérience - Partie 1
</w:t>
            </w:r>
          </w:p>
        </w:tc>
      </w:tr>
      <w:tr>
        <w:trPr>
          <w:trHeight w:val="61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PAUSE</w:t>
              <w:br w:type="textWrapping"/>
              <w:t xml:space="preserve">Expérience :</w:t>
              <w:br w:type="textWrapping"/>
              <w:t xml:space="preserve">Devinez à qui pense l'animateur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9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Si les apprenants ne se connaissent pas encore bien, leur demander de se lever et de dire leur nom, puis l'écrire au tableau. Laissez un espace vide à côté de chaque nom : il sera utilisé pour dessiner les croix (voir "Conclusion de la première expérience et discussion"). Utilisez ce temps pour choisir un apprenant dans votre tête.</w:t>
            </w:r>
          </w:p>
          <w:p w14:paraId="0000005A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Écrire le nom de l'apprenant choisi sur une feuille de papier et, sans indice, demander à chaque groupe de deviner.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B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Une fois leurs noms inscrits au tableau, chaque groupe choisit l'apprenant auquel l'animateur pense et l'inscrit sur sa feuille de papier.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D"/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02:43 - 3:21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F">
            <w:pPr>
              <w:jc w:val="center"/>
            </w:pPr>
            <w:r>
              <w:rPr>
                <w:rFonts w:ascii="Calibri" w:hAnsi="Calibri" w:cs="Calibri" w:eastAsia="Calibri"/>
                <w:color w:val="00000a"/>
                <w:sz w:val="22"/>
                <w:szCs w:val="22"/>
                <w:u w:val="none"/>
              </w:rPr>
              <w:t xml:space="preserve">Introduction of the fils expérimenté – Part 2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PAUSE</w:t>
              <w:br w:type="textWrapping"/>
              <w:t xml:space="preserve">Expérience :</w:t>
              <w:br w:type="textWrapping"/>
              <w:t xml:space="preserve">Devinez à qui pense l'animateur (avec 3 indices)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4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Donnez à la classe trois indications générales sur l'apprenant que vous avez choisi. Les conseils ne doivent pas être trop spécifiques : choisissez des caractéristiques communes aux apprenants (par exemple, grand/court, homme/femme, chemise claire/chemise foncée, etc.)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Après avoir reçu les trois indices, chaque groupe essaiera de deviner à nouveau et écrira à nouveau sa supposition sur la feuille de papier.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7"/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3:22 - 3:52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9">
            <w:pPr>
              <w:jc w:val="center"/>
            </w:pPr>
            <w:r>
              <w:rPr>
                <w:rFonts w:ascii="Calibri" w:hAnsi="Calibri" w:cs="Calibri" w:eastAsia="Calibri"/>
                <w:color w:val="00000a"/>
                <w:sz w:val="22"/>
                <w:szCs w:val="22"/>
                <w:u w:val="none"/>
              </w:rPr>
              <w:t xml:space="preserve">Conclusion de la première expérience et discussion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PAUSE</w:t>
              <w:br w:type="textWrapping"/>
              <w:t xml:space="preserve">Discussion :</w:t>
              <w:br w:type="textWrapping"/>
              <w:t xml:space="preserve">Devinez à qui pense l'animateur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Une fois que chaque groupe a fait sa supposition, rassemblez d'abord les suppositions "non instruites" (sans indices) en ajoutant une croix près du nom correspondant à chaque supposition. La distribution résultante devrait être aléatoire.</w:t>
            </w:r>
          </w:p>
          <w:p w14:paraId="0000006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Ensuite, rassemblez les suppositions "éclairées" (après les indices) en ajoutant un cercle près du nom correspondant à chaque supposition. Cette fois-ci, il devrait y avoir plus de bonnes réponses.
</w:t>
            </w:r>
          </w:p>
          <w:p w14:paraId="0000007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Encouragez la discussion sur les raisons de ce phénomène : étaient-ils sûrs de leur supposition la première fois ? Étaient-ils sûrs la deuxième fois ? La deuxième fois, pouvaient-ils être sûrs que quelqu'un n'était pas la bonne personne ?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Partagez vos idées et discutez 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3">
            <w:pPr>
              <w:jc w:val="center"/>
            </w:pPr>
            <w:r>
              <w:rPr>
                <w:rFonts w:ascii="Calibri" w:hAnsi="Calibri" w:cs="Calibri" w:eastAsia="Calibri"/>
                <w:color w:val="000000"/>
                <w:sz w:val="22"/>
                <w:szCs w:val="22"/>
                <w:u w:val="none"/>
              </w:rPr>
              <w:t xml:space="preserve">L'objectif ici n'est pas d'expliquer exactement pourquoi, mais simplement d'y réfléchir.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3:53 - 5:01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5">
            <w:pPr>
              <w:jc w:val="center"/>
            </w:pPr>
            <w:r>
              <w:rPr>
                <w:rFonts w:ascii="Calibri" w:hAnsi="Calibri" w:cs="Calibri" w:eastAsia="Calibri"/>
                <w:color w:val="00000a"/>
                <w:sz w:val="22"/>
                <w:szCs w:val="22"/>
                <w:u w:val="none"/>
              </w:rPr>
              <w:t xml:space="preserve">Solution de la deuxième expérience et invitation à la discussion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5:02 - 8:42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A">
            <w:pPr>
              <w:jc w:val="center"/>
            </w:pPr>
            <w:r>
              <w:rPr>
                <w:rFonts w:ascii="Calibri" w:hAnsi="Calibri" w:cs="Calibri" w:eastAsia="Calibri"/>
                <w:color w:val="00000a"/>
                <w:sz w:val="22"/>
                <w:szCs w:val="22"/>
                <w:u w:val="none"/>
              </w:rPr>
              <w:t xml:space="preserve">Introduction de la deuxième expérience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PAUSE</w:t>
              <w:br w:type="textWrapping"/>
              <w:t>Expérience:</w:t>
              <w:br w:type="textWrapping"/>
              <w:t xml:space="preserve">Devinez où se trouve le carton rouge... puis devinez à nouveau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F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Assurez-vous que tout le monde comprend le déroulement du jeu et aidez les groupes qui s'embrouillent.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0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Le "devin" se couvre les yeux et le "donneur" mélange les trois cartes et les dispose sur la table. Il doit s'assurer de ne pas oublier où se trouve le carton rouge !</w:t>
            </w:r>
          </w:p>
          <w:p w14:paraId="00000081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Le "devineur" découvre ses yeux et devine.</w:t>
            </w:r>
          </w:p>
          <w:p w14:paraId="00000082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Le "donneur" découvre l'une des deux cartes que le "devin" n'a pas choisies. La carte découverte doit toujours être l'une des deux cartes non rouges ! (Comme il y a deux cartes non rouges, il y aura toujours au moins une carte non rouge que le devin n'aura pas choisie).</w:t>
            </w:r>
          </w:p>
          <w:p w14:paraId="0000008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Le "devin" choisit de modifier ou non sa supposition.</w:t>
            </w:r>
          </w:p>
          <w:p w14:paraId="00000084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Le "donneur" révèle la carte rouge et dit au "devin" s'il a bien deviné.</w:t>
            </w:r>
          </w:p>
          <w:p w14:paraId="00000085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Dans le tableau 2 par 2, annotez le résultat d'une croix dans le cas correspondant (a changé d'avis / n'a pas changé d'avis ; estimation finale juste / fausse).</w:t>
            </w:r>
          </w:p>
          <w:p w14:paraId="00000086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Répétez ce jeu 10 fois, puis échangez les rôles et répétez les 10 autres fois.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8"/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8:43 - 9:17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A">
            <w:pPr>
              <w:jc w:val="center"/>
            </w:pPr>
            <w:r>
              <w:rPr>
                <w:rFonts w:ascii="Calibri" w:hAnsi="Calibri" w:cs="Calibri" w:eastAsia="Calibri"/>
                <w:color w:val="00000a"/>
                <w:sz w:val="22"/>
                <w:szCs w:val="22"/>
                <w:u w:val="none"/>
              </w:rPr>
              <w:t xml:space="preserve">Conclusion de la deuxième expérience et invitation à la discussion</w:t>
            </w:r>
          </w:p>
        </w:tc>
      </w:tr>
      <w:tr>
        <w:trPr>
          <w:trHeight w:val="1186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PAUSE</w:t>
              <w:br w:type="textWrapping"/>
              <w:t>Discussion:</w:t>
              <w:br w:type="textWrapping"/>
              <w:t xml:space="preserve">Devinez où se trouve le carton rouge... et devinez encore...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F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Recueillir les résultats et observer les deux distributions : faire commenter les résultats par les apprenants.</w:t>
            </w:r>
          </w:p>
          <w:p w14:paraId="00000090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Facilitez la discussion : le "donneur" n'a jamais rien dit au sujet de la carte gagnante, et pourtant le "devineur" a deviné juste plus souvent après l'indice qu'avant. Pourquoi? Comment cela peut-il être considéré dans le cadre de la première expérience ?</w:t>
            </w:r>
          </w:p>
          <w:p w14:paraId="00000091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Vous pouvez également aller plus loin et montrer les mathématiques sous-jacentes : la première supposition est aléatoire : le "devineur" a une probabilité de 1/3 de choisir la carte rouge. Si le "donneur" dit seulement au "devin" de choisir une carte différente, il y aura deux situations : 1) si la bonne carte est choisie (prob. 1/3), la probabilité de choisir la bonne carte serait de 0 2) si la mauvaise carte est choisie (prob. 2/3), la probabilité de choisir la bonne carte serait de 1/2. Par conséquent, 1/3*0 + 2/3*1/2 = 1/3, la probabilité n'a pas changé.</w:t>
            </w:r>
          </w:p>
          <w:p w14:paraId="00000092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Mais si le "donneur" retire l'une des deux mauvaises cartes avant de laisser le "devin" choisir à nouveau, le résultat change : dans 1) nous avons 1/2*0, et dans 2) nous avons 1/2*1 ; donc 1/2*0 + 1/2*1 = 1/2. Ainsi, si le "devin" modifie sa supposition, il aura une probabilité de 1/2 de tomber juste, contre une probabilité initiale de 1/3 ! La stratégie gagnante consiste donc à toujours changer de carte après la première supposition.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3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Partagez vos idées sur la capacité du "devineur" à deviner la bonne carte avant et après que le "donneur" ait donné l'indice.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5">
            <w:pPr>
              <w:jc w:val="center"/>
            </w:pPr>
            <w:r>
              <w:rPr>
                <w:rFonts w:ascii="Calibri" w:hAnsi="Calibri" w:cs="Calibri" w:eastAsia="Calibri"/>
                <w:color w:val="000000"/>
                <w:sz w:val="22"/>
                <w:szCs w:val="22"/>
                <w:u w:val="none"/>
              </w:rPr>
              <w:t xml:space="preserve">L'objectif ici n'est pas d'expliquer exactement pourquoi, mais simplement d'y réfléchir.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9:18 - 10:24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7">
            <w:pPr>
              <w:jc w:val="center"/>
            </w:pPr>
            <w:r>
              <w:rPr>
                <w:rFonts w:ascii="Calibri" w:hAnsi="Calibri" w:cs="Calibri" w:eastAsia="Calibri"/>
                <w:color w:val="00000a"/>
                <w:sz w:val="22"/>
                <w:szCs w:val="22"/>
                <w:u w:val="none"/>
              </w:rPr>
              <w:t>Conclusion</w:t>
            </w:r>
          </w:p>
        </w:tc>
      </w:tr>
    </w:tbl>
    <w:p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40" w:w="1190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9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