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43"/>
        <w:gridCol w:w="3716"/>
        <w:gridCol w:w="3009"/>
        <w:gridCol w:w="1440"/>
      </w:tblGrid>
      <w:tr>
        <w:trPr>
          <w:trHeight w:val="3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Titre de la vidéo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color w:val="00000a"/>
                <w:sz w:val="22"/>
                <w:szCs w:val="22"/>
              </w:rPr>
              <w:t xml:space="preserve">Une leçon sur le jeu de la vie de Conway [Samuel Flot]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Rubrique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Pensée mathématique</w:t>
            </w:r>
          </w:p>
        </w:tc>
      </w:tr>
      <w:tr>
        <w:trPr>
          <w:trHeight w:val="9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Objectif(s)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222222"/>
                <w:sz w:val="22"/>
                <w:szCs w:val="22"/>
                <w:highlight w:val="white"/>
              </w:rPr>
              <w:t xml:space="preserve">Définir un automate cellulaire intéressant et imprévisible. Par exemple, découvrez des configurations qui durent longtemps avant de mourir et d'autres configurations qui durent éternellement sans permettre de cycles.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Durée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10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min</w:t>
            </w:r>
          </w:p>
        </w:tc>
      </w:tr>
      <w:tr>
        <w:trPr>
          <w:trHeight w:val="48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Lieu du camp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(Laissez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pour les facilitateurs qui l'utiliseront)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Animateurs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(Laissez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pour les facilitateurs qui l'utiliseront)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N. des étudiants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(Laissez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pour les facilitateurs qui l'utiliseront)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Date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(Laissez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pour les facilitateurs qui l'utiliseront)</w:t>
            </w:r>
          </w:p>
        </w:tc>
      </w:tr>
      <w:tr>
        <w:trPr>
          <w:trHeight w:val="4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Les ressources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nécessaires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Papier pour dessiner des grilles carrées, 2 post-it de couleurs différentes</w:t>
            </w:r>
          </w:p>
        </w:tc>
      </w:tr>
      <w:tr>
        <w:trPr>
          <w:trHeight w:val="59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Préparations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Demandez aux groupes d'élèves de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dessiner les grilles carrées (vous pouvez dessiner et partager une copie imprimée) et découper quelques post-it de la même taille que les grilles carrées.</w:t>
            </w:r>
          </w:p>
        </w:tc>
      </w:tr>
      <w:tr>
        <w:trPr>
          <w:trHeight w:val="330" w:hRule="atLeast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Temps de la vidéo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fait le facilitateur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font les apprenants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Commentaires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00:00 - 00:26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Vidéo générale introduisant le CVM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00:27 - 00:</w:t>
            </w:r>
            <w:r>
              <w:rPr>
                <w:rFonts w:ascii="Arial" w:hAnsi="Arial" w:cs="Arial" w:eastAsia="Arial"/>
                <w:sz w:val="22"/>
                <w:szCs w:val="22"/>
              </w:rPr>
              <w:t>42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d'introduction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00:</w:t>
            </w:r>
            <w:r>
              <w:rPr>
                <w:rFonts w:ascii="Arial" w:hAnsi="Arial" w:cs="Arial" w:eastAsia="Arial"/>
                <w:sz w:val="22"/>
                <w:szCs w:val="22"/>
              </w:rPr>
              <w:t>42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 - 0</w:t>
            </w:r>
            <w:r>
              <w:rPr>
                <w:rFonts w:ascii="Arial" w:hAnsi="Arial" w:cs="Arial" w:eastAsia="Arial"/>
                <w:sz w:val="22"/>
                <w:szCs w:val="22"/>
              </w:rPr>
              <w:t>1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  <w:r>
              <w:rPr>
                <w:rFonts w:ascii="Arial" w:hAnsi="Arial" w:cs="Arial" w:eastAsia="Arial"/>
                <w:sz w:val="22"/>
                <w:szCs w:val="22"/>
              </w:rPr>
              <w:t>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Matériaux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01:06 - 05:26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Rules of the Game &amp;  Introduction of the first demonstrations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210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Demonstration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</w:p>
          <w:p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Déterminez vous-même la prochaine étape de la configuration.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9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processus, susciter des réflexions (explana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tions de 05:26 - 06:06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A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6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:15 - 2:03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Solution of the first experiment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2:04 - 2:59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Introduction de la deuxième expérience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Demonstration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5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Faciliter le processus, susciter des pensées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3:03 - 3:33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Solution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  <w:t xml:space="preserve">Discussion :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Animer la discussion : </w:t>
            </w:r>
          </w:p>
          <w:p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Suggestion de discussion 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.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B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2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A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B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41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E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6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45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12:49 - 13:11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Conclusion</w:t>
            </w:r>
          </w:p>
        </w:tc>
      </w:tr>
    </w:tbl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40" w:w="1190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