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1"/>
        <w:widowControl w:val="0"/>
        <w:shd w:fill="ffffff" w:val="clear"/>
        <w:spacing w:after="280" w:before="280" w:line="276" w:lineRule="auto"/>
        <w:rPr>
          <w:color w:val="00000a"/>
          <w:highlight w:val="white"/>
        </w:rPr>
      </w:pPr>
    </w:p>
    <w:tbl>
      <w:tblPr>
        <w:tblStyle w:val="Table1"/>
        <w:tblW w:w="9982.0" w:type="dxa"/>
        <w:jc w:val="left"/>
        <w:tblInd w:w="342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1814"/>
        <w:gridCol w:w="3177"/>
        <w:gridCol w:w="27"/>
        <w:gridCol w:w="2809"/>
        <w:gridCol w:w="28"/>
        <w:gridCol w:w="2127"/>
      </w:tblGrid>
      <w:tr>
        <w:trPr>
          <w:trHeight w:val="34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2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Titolo del Video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3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b w:val="1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b w:val="1"/>
                <w:color w:val="00000a"/>
                <w:highlight w:val="white"/>
              </w:rPr>
              <w:t xml:space="preserve">Tensione superficiale</w:t>
            </w:r>
          </w:p>
        </w:tc>
      </w:tr>
      <w:tr>
        <w:trPr>
          <w:trHeight w:val="22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8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>Argomento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9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>Chimica</w:t>
            </w:r>
          </w:p>
        </w:tc>
      </w:tr>
      <w:tr>
        <w:trPr>
          <w:trHeight w:val="9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E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Obiettivo/i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F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Scoprire la natura della tensione superficiale in acqua e i suoi cambiamenti con oggetti d'uso quotidiano.</w:t>
            </w:r>
          </w:p>
        </w:tc>
      </w:tr>
      <w:tr>
        <w:trPr>
          <w:trHeight w:val="22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14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Lunghezza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15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45min</w:t>
            </w:r>
          </w:p>
        </w:tc>
      </w:tr>
      <w:tr>
        <w:trPr>
          <w:trHeight w:val="48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1A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Posizione del Campo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1B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0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Facilitatori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1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6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N. di studenti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7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C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>Data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D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</w:p>
        </w:tc>
      </w:tr>
      <w:tr>
        <w:trPr>
          <w:trHeight w:val="4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32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Risorse</w:t>
            </w:r>
          </w:p>
          <w:p w14:paraId="00000033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necessarie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34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Set per ogni gruppo di studenti: un bicchiere o una tazza, un piatto, un bastone, sapone, acqua, caffè, pepe nero. Sia l'acqua che i piatti dovrebbero esser puliti.</w:t>
            </w:r>
          </w:p>
        </w:tc>
      </w:tr>
      <w:tr>
        <w:trPr>
          <w:trHeight w:val="59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39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Preparazioni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3A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Nessuna</w:t>
            </w:r>
          </w:p>
        </w:tc>
      </w:tr>
      <w:tr>
        <w:trPr>
          <w:trHeight w:val="330" w:hRule="atLeast"/>
        </w:trPr>
        <w:tc>
          <w:tcPr>
            <w:gridSpan w:val="5"/>
            <w:tcBorders>
              <w:top w:color="000001" w:space="0" w:sz="4" w:val="single"/>
              <w:left w:color="000000" w:space="0" w:sz="0" w:val="nil"/>
              <w:bottom w:color="000001" w:space="0" w:sz="4" w:val="single"/>
              <w:right w:color="000000" w:space="0" w:sz="0" w:val="nil"/>
            </w:tcBorders>
            <w:shd w:fill="ffffff" w:val="clear"/>
          </w:tcPr>
          <w:p w14:paraId="0000003F">
            <w:pPr>
              <w:keepNext w:val="1"/>
              <w:shd w:fill="ffffff" w:val="clear"/>
              <w:spacing w:after="280" w:before="280" w:line="240" w:lineRule="auto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</w:p>
          <w:p w14:paraId="00000040">
            <w:pPr>
              <w:keepNext w:val="1"/>
              <w:shd w:fill="ffffff" w:val="clear"/>
              <w:spacing w:after="280" w:before="280" w:line="240" w:lineRule="auto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</w:p>
          <w:p w14:paraId="00000041">
            <w:pPr>
              <w:keepNext w:val="1"/>
              <w:shd w:fill="ffffff" w:val="clear"/>
              <w:spacing w:after="280" w:before="280" w:line="240" w:lineRule="auto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</w:p>
        </w:tc>
        <w:tc>
          <w:tcPr>
            <w:tcBorders>
              <w:top w:color="000001" w:space="0" w:sz="4" w:val="single"/>
              <w:left w:color="000000" w:space="0" w:sz="0" w:val="nil"/>
              <w:bottom w:color="000001" w:space="0" w:sz="4" w:val="single"/>
              <w:right w:color="000000" w:space="0" w:sz="0" w:val="nil"/>
            </w:tcBorders>
            <w:shd w:fill="ffffff" w:val="clear"/>
          </w:tcPr>
          <w:p w14:paraId="00000046">
            <w:pPr>
              <w:keepNext w:val="1"/>
              <w:shd w:fill="ffffff" w:val="clear"/>
              <w:spacing w:after="280" w:before="280" w:line="240" w:lineRule="auto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7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b w:val="1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b w:val="1"/>
                <w:color w:val="00000a"/>
                <w:highlight w:val="white"/>
              </w:rPr>
              <w:t xml:space="preserve">Tempo del video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8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b w:val="1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b w:val="1"/>
                <w:color w:val="00000a"/>
                <w:highlight w:val="white"/>
              </w:rPr>
              <w:t xml:space="preserve">Cosa fa il facilitatore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A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b w:val="1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b w:val="1"/>
                <w:color w:val="00000a"/>
                <w:highlight w:val="white"/>
              </w:rPr>
              <w:t xml:space="preserve">Cosa fanno gli studenti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C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b w:val="1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b w:val="1"/>
                <w:color w:val="00000a"/>
                <w:highlight w:val="white"/>
              </w:rPr>
              <w:t>Commenti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D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00:00 - 00:26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E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Introduzione Generale al Video di VMC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53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00:26 - 00:31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54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Introduzione al Video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59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00:31 - 00:45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5A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>Materiale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5F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00:46 - 01:24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0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Introduzione al primo esperimento</w:t>
            </w:r>
          </w:p>
        </w:tc>
      </w:tr>
      <w:tr>
        <w:trPr>
          <w:trHeight w:val="210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tcMar>
              <w:left w:w="75.0" w:type="dxa"/>
            </w:tcMar>
            <w:vAlign w:val="center"/>
          </w:tcPr>
          <w:p w14:paraId="00000065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VIDEO IN PAUSA</w:t>
              <w:br w:type="textWrapping"/>
              <w:t>Esperimento:</w:t>
              <w:br w:type="textWrapping"/>
              <w:t xml:space="preserve">Riempire i bicchieri d'acqua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6">
            <w:pPr>
              <w:keepNext w:val="1"/>
              <w:numPr>
                <w:ilvl w:val="0"/>
                <w:numId w:val="3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Assiste il processo, causa pensieri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8">
            <w:pPr>
              <w:keepNext w:val="1"/>
              <w:numPr>
                <w:ilvl w:val="0"/>
                <w:numId w:val="5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Riempiono i bicchieri o le tazze fino in cima</w:t>
            </w:r>
          </w:p>
          <w:p w14:paraId="00000069">
            <w:pPr>
              <w:keepNext w:val="1"/>
              <w:numPr>
                <w:ilvl w:val="0"/>
                <w:numId w:val="5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Osservano l'effetto della tensione superficiale (superficie curva dell'acqua). </w:t>
            </w:r>
          </w:p>
          <w:p w14:paraId="0000006A">
            <w:pPr>
              <w:keepNext w:val="1"/>
              <w:numPr>
                <w:ilvl w:val="0"/>
                <w:numId w:val="5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Discutono con gli altri studenti perché si verifica quest'effetto e se lo hanno notato prima nella loro vita quotidiana.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C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D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1:31 – 3:26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E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Introduzione al secondo esperimento</w:t>
            </w:r>
          </w:p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tcMar>
              <w:left w:w="75.0" w:type="dxa"/>
            </w:tcMar>
            <w:vAlign w:val="center"/>
          </w:tcPr>
          <w:p w14:paraId="00000073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VIDEO IN PAUSA</w:t>
              <w:br w:type="textWrapping"/>
              <w:t>Esperimento:</w:t>
              <w:br w:type="textWrapping"/>
              <w:t xml:space="preserve">Modificare la tensione superficiale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74">
            <w:pPr>
              <w:keepNext w:val="1"/>
              <w:numPr>
                <w:ilvl w:val="0"/>
                <w:numId w:val="1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Assiste il processo, causa pensieri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76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Mettono uno strato d'acqua sui piatti</w:t>
            </w:r>
          </w:p>
          <w:p w14:paraId="00000077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Versano del pepe nero o caffè sull'acqua. Osservano la distribuzione uniforme delle particelle</w:t>
            </w:r>
          </w:p>
          <w:p w14:paraId="00000078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Versano una goccia di sapone sulla punta dei bastoncini</w:t>
            </w:r>
          </w:p>
          <w:p w14:paraId="00000079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Toccano la superfici d'acqua con il bastone</w:t>
            </w:r>
          </w:p>
          <w:p w14:paraId="0000007A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Osservano la diffusione delle particelle, o, in generale, la modifica della loro distribuzione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7C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Poiché i caffè sono miscugli e la loro composizione può variare, alcuni caffè potrebbero reagire male durante l'esperimento.</w:t>
            </w:r>
          </w:p>
          <w:p w14:paraId="0000007D">
            <w:pPr>
              <w:keepNext w:val="1"/>
              <w:numPr>
                <w:ilvl w:val="0"/>
                <w:numId w:val="1"/>
              </w:numPr>
              <w:spacing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Dopo l'esperimento, la distribuzione delle particelle non è ulteriormente modificabile con lo stesso metodo.</w:t>
            </w:r>
          </w:p>
          <w:p w14:paraId="0000007E">
            <w:pPr>
              <w:keepNext w:val="1"/>
              <w:numPr>
                <w:ilvl w:val="0"/>
                <w:numId w:val="1"/>
              </w:numPr>
              <w:spacing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Per ripetere l'esperimento, pulire prima il piatto in modo accurato.</w:t>
            </w:r>
          </w:p>
          <w:p w14:paraId="0000007F">
            <w:pPr>
              <w:keepNext w:val="1"/>
              <w:shd w:fill="ffffff" w:val="clear"/>
              <w:spacing w:after="140" w:line="288" w:lineRule="auto"/>
              <w:rPr>
                <w:rFonts w:ascii="Calibri" w:cs="Calibri" w:eastAsia="Calibri" w:hAnsi="Calibri"/>
                <w:color w:val="00000a"/>
              </w:rPr>
            </w:pPr>
          </w:p>
        </w:tc>
      </w:tr>
      <w:tr>
        <w:trPr>
          <w:trHeight w:val="1699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80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3:31 - 3:33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81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Invito alla discussione</w:t>
            </w:r>
          </w:p>
        </w:tc>
      </w:tr>
      <w:tr>
        <w:trPr>
          <w:trHeight w:val="351" w:hRule="atLeast"/>
        </w:trPr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cc99" w:val="clear"/>
            <w:tcMar>
              <w:left w:w="75.0" w:type="dxa"/>
            </w:tcMar>
            <w:vAlign w:val="center"/>
          </w:tcPr>
          <w:p w14:paraId="00000086">
            <w:pPr>
              <w:keepNext w:val="1"/>
              <w:shd w:fill="ffcc99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VIDEO IN PAUSA</w:t>
              <w:br w:type="textWrapping"/>
              <w:t>Discussione:</w:t>
              <w:br w:type="textWrapping"/>
              <w:t xml:space="preserve">Perché le particelle si diffondono?</w:t>
            </w:r>
          </w:p>
        </w:tc>
        <w:tc>
          <w:tcPr>
            <w:gridSpan w:val="2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0" w:space="0" w:sz="0" w:val="nil"/>
            </w:tcBorders>
            <w:shd w:fill="ffffff" w:val="clear"/>
            <w:tcMar>
              <w:left w:w="75.0" w:type="dxa"/>
            </w:tcMar>
            <w:vAlign w:val="center"/>
          </w:tcPr>
          <w:p w14:paraId="00000087">
            <w:pPr>
              <w:keepNext w:val="1"/>
              <w:numPr>
                <w:ilvl w:val="0"/>
                <w:numId w:val="2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Facilitare la discussione: perché le particelle di caffè/pepe sono spinte al bordo del piatto? Qual è il ruolo del sapone?</w:t>
            </w:r>
          </w:p>
          <w:p w14:paraId="00000088">
            <w:pPr>
              <w:keepNext w:val="1"/>
              <w:numPr>
                <w:ilvl w:val="0"/>
                <w:numId w:val="2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Suggerimenti per la discussione: la tensione superficiale dipende dalla composizione della superficie dell'acqua </w:t>
            </w:r>
          </w:p>
        </w:tc>
        <w:tc>
          <w:tcPr>
            <w:gridSpan w:val="2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0" w:space="0" w:sz="0" w:val="nil"/>
            </w:tcBorders>
            <w:shd w:fill="ffffff" w:val="clear"/>
            <w:tcMar>
              <w:left w:w="75.0" w:type="dxa"/>
            </w:tcMar>
            <w:vAlign w:val="center"/>
          </w:tcPr>
          <w:p w14:paraId="0000008A">
            <w:pPr>
              <w:keepNext w:val="1"/>
              <w:numPr>
                <w:ilvl w:val="0"/>
                <w:numId w:val="4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Provano a indovinare e condividono le proprie idee </w:t>
            </w:r>
          </w:p>
        </w:tc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8C">
            <w:pPr>
              <w:keepNext w:val="1"/>
              <w:numPr>
                <w:ilvl w:val="0"/>
                <w:numId w:val="4"/>
              </w:numPr>
              <w:shd w:fill="ffffff" w:val="clear"/>
              <w:spacing w:line="240" w:lineRule="auto"/>
              <w:ind w:left="360"/>
              <w:rPr>
                <w:rFonts w:ascii="Calibri" w:cs="Calibri" w:eastAsia="Calibri" w:hAnsi="Calibri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Nota: il pepe o il caffè sono 'spettatori' della trasformazione, servono solo per vedere il cambiamento nella tensione superficiale. La trasformazione dipende solo dall'aggiunta di sapone all'acqua.</w:t>
            </w:r>
          </w:p>
          <w:p w14:paraId="0000008D">
            <w:pPr>
              <w:keepNext w:val="1"/>
              <w:shd w:fill="ffffff" w:val="clear"/>
              <w:spacing w:line="240" w:lineRule="auto"/>
              <w:rPr>
                <w:rFonts w:ascii="Calibri" w:cs="Calibri" w:eastAsia="Calibri" w:hAnsi="Calibri"/>
                <w:color w:val="00000a"/>
              </w:rPr>
            </w:pPr>
          </w:p>
          <w:p w14:paraId="0000008E">
            <w:pPr>
              <w:keepNext w:val="1"/>
              <w:numPr>
                <w:ilvl w:val="0"/>
                <w:numId w:val="4"/>
              </w:numPr>
              <w:shd w:fill="ffffff" w:val="clear"/>
              <w:spacing w:line="240" w:lineRule="auto"/>
              <w:ind w:left="360"/>
              <w:rPr>
                <w:rFonts w:ascii="Calibri" w:cs="Calibri" w:eastAsia="Calibri" w:hAnsi="Calibri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Importante messaggio da trasmettere: la composizione delle sostanze può influenzare l'aspetto e le proprietà degli oggetti. Il cambiamento della composizione può manifestarsi nell'aspetto dell'oggetto</w:t>
            </w:r>
          </w:p>
        </w:tc>
      </w:tr>
      <w:tr>
        <w:trPr>
          <w:trHeight w:val="45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8F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3:40 – 4:36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90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</w:rPr>
            </w:pPr>
            <w:r>
              <w:rPr>
                <w:rFonts w:ascii="Calibri" w:hAnsi="Calibri" w:cs="Calibri" w:eastAsia="Calibri"/>
                <w:color w:val="00000a"/>
              </w:rPr>
              <w:t xml:space="preserve">Soluzione all'esperimento (parte 1)</w:t>
            </w:r>
          </w:p>
        </w:tc>
      </w:tr>
      <w:tr>
        <w:trPr>
          <w:trHeight w:val="455" w:hRule="atLeast"/>
        </w:trPr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95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4:36 – 4:47</w:t>
            </w:r>
          </w:p>
        </w:tc>
        <w:tc>
          <w:tcPr>
            <w:gridSpan w:val="5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96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Invito alla discussione</w:t>
            </w:r>
          </w:p>
        </w:tc>
      </w:tr>
      <w:tr>
        <w:trPr>
          <w:trHeight w:val="455" w:hRule="atLeast"/>
        </w:trPr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cc99" w:val="clear"/>
            <w:tcMar>
              <w:left w:w="75.0" w:type="dxa"/>
            </w:tcMar>
            <w:vAlign w:val="center"/>
          </w:tcPr>
          <w:p w14:paraId="0000009B">
            <w:pPr>
              <w:keepNext w:val="1"/>
              <w:shd w:fill="ffcc99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VIDEO IN PAUSA</w:t>
              <w:br w:type="textWrapping"/>
              <w:t>Discussione:</w:t>
              <w:br w:type="textWrapping"/>
              <w:t xml:space="preserve">Dove finisce il sapone?</w:t>
            </w:r>
          </w:p>
        </w:tc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0" w:space="0" w:sz="0" w:val="nil"/>
            </w:tcBorders>
            <w:shd w:fill="ffffff" w:val="clear"/>
            <w:tcMar>
              <w:left w:w="75.0" w:type="dxa"/>
            </w:tcMar>
            <w:vAlign w:val="center"/>
          </w:tcPr>
          <w:p w14:paraId="0000009C">
            <w:pPr>
              <w:keepNext w:val="1"/>
              <w:numPr>
                <w:ilvl w:val="0"/>
                <w:numId w:val="2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Facilita la discussione</w:t>
            </w:r>
          </w:p>
          <w:p w14:paraId="0000009D">
            <w:pPr>
              <w:keepNext w:val="1"/>
              <w:numPr>
                <w:ilvl w:val="0"/>
                <w:numId w:val="2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Suggerimento per la discussione: la tensione superficiale è una proprietà della superficie</w:t>
            </w:r>
          </w:p>
        </w:tc>
        <w:tc>
          <w:tcPr>
            <w:gridSpan w:val="2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0" w:space="0" w:sz="0" w:val="nil"/>
            </w:tcBorders>
            <w:shd w:fill="ffffff" w:val="clear"/>
            <w:tcMar>
              <w:left w:w="75.0" w:type="dxa"/>
            </w:tcMar>
            <w:vAlign w:val="center"/>
          </w:tcPr>
          <w:p w14:paraId="0000009E">
            <w:pPr>
              <w:keepNext w:val="1"/>
              <w:numPr>
                <w:ilvl w:val="0"/>
                <w:numId w:val="4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Provano a indovinare e condividono le proprie idee </w:t>
            </w:r>
          </w:p>
        </w:tc>
        <w:tc>
          <w:tcPr>
            <w:gridSpan w:val="2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A0">
            <w:pPr>
              <w:keepNext w:val="1"/>
              <w:numPr>
                <w:ilvl w:val="0"/>
                <w:numId w:val="4"/>
              </w:numPr>
              <w:shd w:fill="ffffff" w:val="clear"/>
              <w:spacing w:line="240" w:lineRule="auto"/>
              <w:ind w:left="360"/>
              <w:rPr>
                <w:rFonts w:ascii="Calibri" w:cs="Calibri" w:eastAsia="Calibri" w:hAnsi="Calibri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A causa della loro natura chimica, alcune sostanze tendono a concentrarsi in regioni specifiche, mentre alcune altre, semplicemente, si diffondono casualmente</w:t>
            </w:r>
          </w:p>
        </w:tc>
      </w:tr>
      <w:tr>
        <w:trPr>
          <w:trHeight w:val="455" w:hRule="atLeast"/>
        </w:trPr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A2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4:54 – 6:15</w:t>
            </w:r>
          </w:p>
        </w:tc>
        <w:tc>
          <w:tcPr>
            <w:gridSpan w:val="5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A3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Soluzione all'esperimento (parte 2)</w:t>
            </w:r>
          </w:p>
        </w:tc>
      </w:tr>
      <w:tr>
        <w:trPr>
          <w:trHeight w:val="455" w:hRule="atLeast"/>
        </w:trPr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A8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6:15 – 6:36</w:t>
            </w:r>
          </w:p>
        </w:tc>
        <w:tc>
          <w:tcPr>
            <w:gridSpan w:val="5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A9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</w:rPr>
            </w:pPr>
            <w:r>
              <w:rPr>
                <w:rFonts w:ascii="Calibri" w:hAnsi="Calibri" w:cs="Calibri" w:eastAsia="Calibri"/>
                <w:color w:val="00000a"/>
              </w:rPr>
              <w:t>Conclusione</w:t>
            </w:r>
          </w:p>
        </w:tc>
      </w:tr>
    </w:tbl>
    <w:p w14:paraId="000000AE">
      <w:pPr>
        <w:keepNext w:val="1"/>
        <w:widowControl w:val="0"/>
        <w:shd w:fill="ffffff" w:val="clear"/>
        <w:spacing w:after="280" w:before="280" w:line="240" w:lineRule="auto"/>
        <w:rPr>
          <w:rFonts w:ascii="Calibri" w:cs="Calibri" w:eastAsia="Calibri" w:hAnsi="Calibri"/>
          <w:color w:val="00000a"/>
          <w:highlight w:val="white"/>
        </w:rPr>
      </w:pPr>
    </w:p>
    <w:p w14:paraId="000000AF"/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75.0" w:type="dxa"/>
        <w:bottom w:w="80.0" w:type="dxa"/>
        <w:right w:w="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