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ascii="Noto Serif CJK KR" w:hAnsi="Noto Serif CJK KR" w:eastAsia="Noto Serif CJK KR" w:cs="Noto Serif CJK KR"/>
          <w:b/>
          <w:color w:val="1F3A5F"/>
          <w:sz w:val="40"/>
        </w:rPr>
        <w:t>Pre-analysis 데이터 점검 및 기술통계 보고서</w:t>
      </w:r>
    </w:p>
    <w:p>
      <w:pPr>
        <w:pStyle w:val="SubtitleCustom"/>
      </w:pPr>
      <w:r>
        <w:rPr>
          <w:rFonts w:ascii="Noto Sans CJK KR" w:hAnsi="Noto Sans CJK KR" w:eastAsia="Noto Sans CJK KR" w:cs="Noto Sans CJK KR"/>
          <w:b w:val="0"/>
          <w:color w:val="5C6773"/>
          <w:sz w:val="18"/>
        </w:rPr>
        <w:t>Source: stage0 output files (compact/master/workbook) | 대상 데이터셋: PNU, SNU, merged</w:t>
      </w:r>
    </w:p>
    <w:p>
      <w:pPr>
        <w:pBdr>
          <w:bottom w:val="single" w:sz="8" w:space="1" w:color="D7DEE8"/>
        </w:pBdr>
        <w:spacing w:after="120"/>
      </w:pPr>
    </w:p>
    <w:p>
      <w:pPr>
        <w:pStyle w:val="Heading1Custom"/>
      </w:pPr>
      <w:r>
        <w:rPr>
          <w:rFonts w:ascii="Noto Sans CJK KR" w:hAnsi="Noto Sans CJK KR" w:eastAsia="Noto Sans CJK KR" w:cs="Noto Sans CJK KR"/>
          <w:b/>
          <w:color w:val="1F3A5F"/>
          <w:sz w:val="26"/>
        </w:rPr>
        <w:t>1. 핵심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F3F7FB"/>
            <w:tcBorders>
              <w:top w:val="single" w:sz="8" w:color="D6E2F0"/>
              <w:bottom w:val="single" w:sz="8" w:color="D6E2F0"/>
              <w:left w:val="single" w:sz="8" w:color="D6E2F0"/>
              <w:right w:val="single" w:sz="8" w:color="D6E2F0"/>
            </w:tcBorders>
          </w:tcPr>
          <w:p>
            <w:pPr>
              <w:pStyle w:val="CalloutCustom"/>
            </w:pP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• 전체 통합 데이터는 </w:t>
            </w:r>
            <w:r>
              <w:rPr>
                <w:rFonts w:ascii="Noto Sans CJK KR" w:hAnsi="Noto Sans CJK KR" w:eastAsia="Noto Sans CJK KR" w:cs="Noto Sans CJK KR"/>
                <w:b/>
                <w:color w:val="1F3A5F"/>
                <w:sz w:val="20"/>
              </w:rPr>
              <w:t>262명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 (PNU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54명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, SNU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208명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)으로 구성되며,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중복된 site+id 행이 없고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 핵심 변수 결측과 invalid code도 확인되지 않았다.</w:t>
              <w:br/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• merged 기준 기초 특성은 여성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92명 (35.1%)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, entry age 평균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21.96 ± 4.62세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, 추적기간 중앙값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2.07년 [IQR 0.92–5.00]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 이었다.</w:t>
              <w:br/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• outcome은 right censoring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199명 (76.0%)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, transition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50명 (19.1%)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, remission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13명 (5.0%)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 이었다.</w:t>
              <w:br/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• 사이트 간 이질성이 뚜렷했다. PNU는 SNU보다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더 고연령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이고,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추적기간이 훨씬 짧았으며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, remission이 관찰되었다. 반면 SNU는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남성 비율이 높고</w:t>
            </w:r>
            <w:r>
              <w:rPr>
                <w:rFonts w:ascii="Noto Sans CJK KR" w:hAnsi="Noto Sans CJK KR" w:eastAsia="Noto Sans CJK KR" w:cs="Noto Sans CJK KR"/>
                <w:b w:val="0"/>
                <w:color w:val="1F1F1F"/>
                <w:sz w:val="20"/>
              </w:rPr>
              <w:t xml:space="preserve">, 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추적기간이 길며</w:t>
            </w:r>
            <w:r>
              <w:rPr>
                <w:rFonts w:ascii="Noto Sans CJK KR" w:hAnsi="Noto Sans CJK KR" w:eastAsia="Noto Sans CJK KR" w:cs="Noto Sans CJK KR"/>
                <w:b/>
                <w:color w:val="1F1F1F"/>
                <w:sz w:val="20"/>
              </w:rPr>
              <w:t>, remission이 구조적으로 존재하지 않는다.</w:t>
            </w:r>
          </w:p>
        </w:tc>
      </w:tr>
    </w:tbl>
    <w:p>
      <w:pPr>
        <w:pStyle w:val="Heading1Custom"/>
      </w:pPr>
      <w:r>
        <w:rPr>
          <w:rFonts w:ascii="Noto Sans CJK KR" w:hAnsi="Noto Sans CJK KR" w:eastAsia="Noto Sans CJK KR" w:cs="Noto Sans CJK KR"/>
          <w:b/>
          <w:color w:val="1F3A5F"/>
          <w:sz w:val="26"/>
        </w:rPr>
        <w:t>2. 데이터 무결성 및 기본 QC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 xml:space="preserve">이번 보고서는 모델 적합 이전의 </w:t>
      </w:r>
      <w:r>
        <w:rPr>
          <w:rFonts w:ascii="Noto Sans CJK KR" w:hAnsi="Noto Sans CJK KR" w:eastAsia="Noto Sans CJK KR" w:cs="Noto Sans CJK KR"/>
          <w:b w:val="0"/>
          <w:i/>
          <w:color w:val="222222"/>
          <w:sz w:val="20"/>
        </w:rPr>
        <w:t>pre-analysis descriptive stage</w:t>
      </w: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 xml:space="preserve"> 결과를 정리한 것이다. 따라서 Kaplan–Meier, reverse Kaplan–Meier, incidence model, cure model 추정치는 포함하지 않았고, 표본 규모·결측·이상치 플래그·나이·성별·관찰 추적기간·관찰 종료상태만 요약하였다.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3402"/>
            <w:vAlign w:val="center"/>
            <w:shd w:fill="385D8A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QC 항목</w:t>
            </w:r>
          </w:p>
        </w:tc>
        <w:tc>
          <w:tcPr>
            <w:tcW w:type="dxa" w:w="2041"/>
            <w:vAlign w:val="center"/>
            <w:shd w:fill="385D8A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PNU</w:t>
            </w:r>
          </w:p>
        </w:tc>
        <w:tc>
          <w:tcPr>
            <w:tcW w:type="dxa" w:w="2041"/>
            <w:vAlign w:val="center"/>
            <w:shd w:fill="385D8A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SNU</w:t>
            </w:r>
          </w:p>
        </w:tc>
        <w:tc>
          <w:tcPr>
            <w:tcW w:type="dxa" w:w="2041"/>
            <w:vAlign w:val="center"/>
            <w:shd w:fill="385D8A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merged</w:t>
            </w:r>
          </w:p>
        </w:tc>
      </w:tr>
      <w:tr>
        <w:tc>
          <w:tcPr>
            <w:tcW w:type="dxa" w:w="3402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N rows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54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208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262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Unique site+id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54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208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262</w:t>
            </w:r>
          </w:p>
        </w:tc>
      </w:tr>
      <w:tr>
        <w:tc>
          <w:tcPr>
            <w:tcW w:type="dxa" w:w="3402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Duplicated site+id extra rows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Core variable missingness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 across all checked vars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 across all checked vars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 across all checked vars</w:t>
            </w:r>
          </w:p>
        </w:tc>
      </w:tr>
      <w:tr>
        <w:tc>
          <w:tcPr>
            <w:tcW w:type="dxa" w:w="3402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Invalid value flags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Total observed follow-up (person-years)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54.71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735.79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D9E2F2"/>
              <w:bottom w:val="single" w:sz="6" w:color="D9E2F2"/>
              <w:left w:val="single" w:sz="6" w:color="D9E2F2"/>
              <w:right w:val="single" w:sz="6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790.50</w:t>
            </w:r>
          </w:p>
        </w:tc>
      </w:tr>
    </w:tbl>
    <w:p>
      <w:pPr>
        <w:pStyle w:val="BodySmall"/>
      </w:pPr>
      <w:r>
        <w:rPr>
          <w:rFonts w:ascii="Noto Sans CJK KR" w:hAnsi="Noto Sans CJK KR" w:eastAsia="Noto Sans CJK KR" w:cs="Noto Sans CJK KR"/>
          <w:b w:val="0"/>
          <w:color w:val="444444"/>
          <w:sz w:val="18"/>
        </w:rPr>
        <w:t>해석: stage0 결과에서는 핵심 분석 변수의 결측이 모두 0이며, 음수 follow-up·음수 나이·잘못된 sex/status code도 검출되지 않았다.</w:t>
      </w:r>
    </w:p>
    <w:p>
      <w:pPr>
        <w:pStyle w:val="Heading1Custom"/>
      </w:pPr>
      <w:r>
        <w:rPr>
          <w:rFonts w:ascii="Noto Sans CJK KR" w:hAnsi="Noto Sans CJK KR" w:eastAsia="Noto Sans CJK KR" w:cs="Noto Sans CJK KR"/>
          <w:b/>
          <w:color w:val="1F3A5F"/>
          <w:sz w:val="26"/>
        </w:rPr>
        <w:t>3. 주요 기술통계 요약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논문 본문 또는 Table 1 초안에 바로 활용할 수 있도록 핵심 수치만 선별해 재구성하였다. follow-up은 임상적 가독성을 위해 years 단위를 우선 보고하였다.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4025"/>
            <w:vAlign w:val="center"/>
            <w:shd w:fill="1F3A5F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01"/>
            <w:vAlign w:val="center"/>
            <w:shd w:fill="1F3A5F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PNU</w:t>
            </w:r>
          </w:p>
        </w:tc>
        <w:tc>
          <w:tcPr>
            <w:tcW w:type="dxa" w:w="1701"/>
            <w:vAlign w:val="center"/>
            <w:shd w:fill="1F3A5F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SNU</w:t>
            </w:r>
          </w:p>
        </w:tc>
        <w:tc>
          <w:tcPr>
            <w:tcW w:type="dxa" w:w="1701"/>
            <w:vAlign w:val="center"/>
            <w:shd w:fill="1F3A5F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merged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8"/>
              </w:rPr>
              <w:t>Cohort — N rows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54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208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262</w:t>
            </w:r>
          </w:p>
        </w:tc>
      </w:tr>
      <w:tr>
        <w:tc>
          <w:tcPr>
            <w:tcW w:type="dxa" w:w="4025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8"/>
              </w:rPr>
              <w:t>Cohort — Unique site+id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54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208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262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Sex — Female, n (%)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26 (48.1%)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66 (31.7%)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92 (35.1%)</w:t>
            </w:r>
          </w:p>
        </w:tc>
      </w:tr>
      <w:tr>
        <w:tc>
          <w:tcPr>
            <w:tcW w:type="dxa" w:w="4025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Sex — Male, n (%)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28 (51.9%)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142 (68.3%)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170 (64.9%)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Age at entry (years) — Mean ± SD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24.87 ± 5.25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21.21 ± 4.13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21.96 ± 4.62</w:t>
            </w:r>
          </w:p>
        </w:tc>
      </w:tr>
      <w:tr>
        <w:tc>
          <w:tcPr>
            <w:tcW w:type="dxa" w:w="4025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Age at entry (years) — Median [Q1, Q3]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23.49 [20.63, 28.16]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19.95 [18.64, 23.30]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20.50 [19.08, 24.29]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Age at entry (years) — Min to max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18.61 to 41.39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15.05 to 35.29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15.05 to 41.39</w:t>
            </w:r>
          </w:p>
        </w:tc>
      </w:tr>
      <w:tr>
        <w:tc>
          <w:tcPr>
            <w:tcW w:type="dxa" w:w="4025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Age at end of follow-up (years) — Mean ± SD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25.88 ± 5.09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24.75 ± 4.68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24.98 ± 4.78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Age at end of follow-up (years) — Median [Q1, Q3]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24.50 [21.86, 28.80]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24.14 [21.36, 26.78]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24.14 [21.48, 27.36]</w:t>
            </w:r>
          </w:p>
        </w:tc>
      </w:tr>
    </w:tbl>
    <w:p>
      <w:pPr>
        <w:pStyle w:val="BodySmall"/>
      </w:pPr>
      <w:r>
        <w:rPr>
          <w:rFonts w:ascii="Noto Sans CJK KR" w:hAnsi="Noto Sans CJK KR" w:eastAsia="Noto Sans CJK KR" w:cs="Noto Sans CJK KR"/>
          <w:b w:val="0"/>
          <w:color w:val="444444"/>
          <w:sz w:val="18"/>
        </w:rPr>
        <w:t>표 1A는 규모·성별·나이 요약을, 표 1B는 follow-up 및 종료상태 요약을 보여준다.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4025"/>
            <w:vAlign w:val="center"/>
            <w:shd w:fill="1F3A5F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01"/>
            <w:vAlign w:val="center"/>
            <w:shd w:fill="1F3A5F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PNU</w:t>
            </w:r>
          </w:p>
        </w:tc>
        <w:tc>
          <w:tcPr>
            <w:tcW w:type="dxa" w:w="1701"/>
            <w:vAlign w:val="center"/>
            <w:shd w:fill="1F3A5F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SNU</w:t>
            </w:r>
          </w:p>
        </w:tc>
        <w:tc>
          <w:tcPr>
            <w:tcW w:type="dxa" w:w="1701"/>
            <w:vAlign w:val="center"/>
            <w:shd w:fill="1F3A5F"/>
            <w:tcBorders>
              <w:top w:val="single" w:sz="8" w:color="D9E2F2"/>
              <w:bottom w:val="single" w:sz="8" w:color="D9E2F2"/>
              <w:left w:val="single" w:sz="8" w:color="D9E2F2"/>
              <w:right w:val="single" w:sz="8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merged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Age at end of follow-up (years) — Min to max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19.96 to 42.73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15.82 to 38.48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15.82 to 42.73</w:t>
            </w:r>
          </w:p>
        </w:tc>
      </w:tr>
      <w:tr>
        <w:tc>
          <w:tcPr>
            <w:tcW w:type="dxa" w:w="4025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Follow-up duration (years) — Mean ± SD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1.01 ± 0.72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3.54 ± 2.55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3.02 ± 2.51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Follow-up duration (years) — Median [Q1, Q3]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1.11 [0.30, 1.60]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3.80 [1.19, 5.04]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2.07 [0.92, 5.00]</w:t>
            </w:r>
          </w:p>
        </w:tc>
      </w:tr>
      <w:tr>
        <w:tc>
          <w:tcPr>
            <w:tcW w:type="dxa" w:w="4025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Follow-up duration (years) — Min to max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0.04 to 2.67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0.02 to 10.11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0.02 to 10.11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8"/>
              </w:rPr>
              <w:t>Outcome status — Right censoring, n (%)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29 (53.7%)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170 (81.7%)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199 (76.0%)</w:t>
            </w:r>
          </w:p>
        </w:tc>
      </w:tr>
      <w:tr>
        <w:tc>
          <w:tcPr>
            <w:tcW w:type="dxa" w:w="4025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8"/>
              </w:rPr>
              <w:t>Outcome status — Transition, n (%)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12 (22.2%)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38 (18.3%)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50 (19.1%)</w:t>
            </w:r>
          </w:p>
        </w:tc>
      </w:tr>
      <w:tr>
        <w:tc>
          <w:tcPr>
            <w:tcW w:type="dxa" w:w="4025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sz w:val="18"/>
              </w:rPr>
              <w:t>Outcome status — Remission, n (%)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13 (24.1%)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0 (0.0%)</w:t>
            </w:r>
          </w:p>
        </w:tc>
        <w:tc>
          <w:tcPr>
            <w:tcW w:type="dxa" w:w="1701"/>
            <w:vAlign w:val="center"/>
            <w:shd w:fill="EEF4FB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13 (5.0%)</w:t>
            </w:r>
          </w:p>
        </w:tc>
      </w:tr>
      <w:tr>
        <w:tc>
          <w:tcPr>
            <w:tcW w:type="dxa" w:w="4025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18"/>
              </w:rPr>
              <w:t>Observed follow-up — Total observed person-years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54.71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735.79</w:t>
            </w:r>
          </w:p>
        </w:tc>
        <w:tc>
          <w:tcPr>
            <w:tcW w:type="dxa" w:w="1701"/>
            <w:vAlign w:val="center"/>
            <w:shd w:fill="F7FAFD"/>
            <w:tcBorders>
              <w:top w:val="single" w:sz="5" w:color="D9E2F2"/>
              <w:bottom w:val="single" w:sz="5" w:color="D9E2F2"/>
              <w:left w:val="single" w:sz="5" w:color="D9E2F2"/>
              <w:right w:val="single" w:sz="5" w:color="D9E2F2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sz w:val="18"/>
              </w:rPr>
              <w:t>790.50</w:t>
            </w:r>
          </w:p>
        </w:tc>
      </w:tr>
    </w:tbl>
    <w:p>
      <w:pPr>
        <w:pStyle w:val="Heading1Custom"/>
      </w:pPr>
      <w:r>
        <w:rPr>
          <w:rFonts w:ascii="Noto Sans CJK KR" w:hAnsi="Noto Sans CJK KR" w:eastAsia="Noto Sans CJK KR" w:cs="Noto Sans CJK KR"/>
          <w:b/>
          <w:color w:val="1F3A5F"/>
          <w:sz w:val="26"/>
        </w:rPr>
        <w:t>4. 서술형 해석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merged 코호트는 총 262명으로, 여성은 92명(35.1%)이었다. entry age는 평균 21.96±4.62세, 중앙값 20.50세(IQR 19.08–24.29)였다. 관찰 추적기간은 평균 3.02±2.51년, 중앙값 2.07년(IQR 0.92–5.00)이었고, 범위는 0.02–10.11년이었다. outcome status는 right censoring 199명(76.0%), transition 50명(19.1%), remission 13명(5.0%)이었다.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PNU와 SNU를 비교하면, PNU는 SNU보다 entry age가 더 높았다(평균 24.87세 vs 21.21세). 성별 분포도 달랐는데, PNU는 여성 비율이 48.1%로 상대적으로 균형적이었으나 SNU는 여성 비율이 31.7%로 낮고 남성 비율이 높았다. 추적기간 차이는 더 컸다. PNU의 추적기간 중앙값은 1.11년이었고 SNU는 3.80년으로, SNU가 약 2.69년 더 길었다.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종료상태 분포도 사이트별로 상당히 다르다. PNU에서는 right censoring 53.7%, transition 22.2%, remission 24.1%였고, SNU에서는 right censoring 81.7%, transition 18.3%, remission 0.0%였다. 이는 remission이 SNU에서 관찰되지 않았기 때문인데, 데이터 사전상 SNU에서는 status_num=2가 구조적으로 존재하지 않는다.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sex별 age를 보면 merged 전체에서는 여성과 남성의 entry age 평균이 각각 22.14세와 21.87세로 큰 차이가 없었다. 다만 PNU에서는 여성이 남성보다 다소 고연령이었고(평균 25.90세 vs 23.92세), SNU에서는 성별 차이가 상대적으로 작았다.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status별 follow-up을 보면 merged 기준 transition군의 추적기간 중앙값은 1.12년, right censoring군은 3.48년, remission군은 1.45년이었다. 즉 실제 transition이 발생한 사례는 censoring 사례보다 전반적으로 더 이른 시점에 관찰되며, 특히 PNU에서는 transition군 중앙 추적기간이 0.37년으로 짧았다.</w:t>
      </w:r>
    </w:p>
    <w:p>
      <w:pPr>
        <w:pStyle w:val="Heading1Custom"/>
      </w:pPr>
      <w:r>
        <w:rPr>
          <w:rFonts w:ascii="Noto Sans CJK KR" w:hAnsi="Noto Sans CJK KR" w:eastAsia="Noto Sans CJK KR" w:cs="Noto Sans CJK KR"/>
          <w:b/>
          <w:color w:val="1F3A5F"/>
          <w:sz w:val="26"/>
        </w:rPr>
        <w:t>5. 후속 생존분석을 위한 함의</w:t>
      </w:r>
    </w:p>
    <w:p>
      <w:pPr>
        <w:pStyle w:val="BodyCustom"/>
        <w:ind w:left="198" w:hanging="198"/>
      </w:pPr>
      <w:r>
        <w:rPr>
          <w:rFonts w:ascii="Noto Sans CJK KR" w:hAnsi="Noto Sans CJK KR" w:eastAsia="Noto Sans CJK KR" w:cs="Noto Sans CJK KR"/>
          <w:b/>
          <w:color w:val="1F3A5F"/>
          <w:sz w:val="20"/>
        </w:rPr>
        <w:t xml:space="preserve">• </w:t>
      </w: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첫째, merged 요약치는 전체 코호트의 평균적인 모습을 보여주지만, PNU와 SNU의 모집 구조와 추적구조가 상당히 다르므로 이를 하나의 동질한 단일 코호트처럼 해석하면 왜곡될 수 있다.</w:t>
      </w:r>
    </w:p>
    <w:p>
      <w:pPr>
        <w:pStyle w:val="BodyCustom"/>
        <w:ind w:left="198" w:hanging="198"/>
      </w:pPr>
      <w:r>
        <w:rPr>
          <w:rFonts w:ascii="Noto Sans CJK KR" w:hAnsi="Noto Sans CJK KR" w:eastAsia="Noto Sans CJK KR" w:cs="Noto Sans CJK KR"/>
          <w:b/>
          <w:color w:val="1F3A5F"/>
          <w:sz w:val="20"/>
        </w:rPr>
        <w:t xml:space="preserve">• </w:t>
      </w: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둘째, SNU에서는 remission이 구조적으로 존재하지 않으므로, remission 관련 해석은 PNU 중심이 되거나 별도의 remission-sensitive 보조 분석으로 다뤄져야 한다.</w:t>
      </w:r>
    </w:p>
    <w:p>
      <w:pPr>
        <w:pStyle w:val="BodyCustom"/>
        <w:ind w:left="198" w:hanging="198"/>
      </w:pPr>
      <w:r>
        <w:rPr>
          <w:rFonts w:ascii="Noto Sans CJK KR" w:hAnsi="Noto Sans CJK KR" w:eastAsia="Noto Sans CJK KR" w:cs="Noto Sans CJK KR"/>
          <w:b/>
          <w:color w:val="1F3A5F"/>
          <w:sz w:val="20"/>
        </w:rPr>
        <w:t xml:space="preserve">• </w:t>
      </w: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셋째, 사이트 차이는 임상적 '치료 효과'로 읽을 수 없다. 본 프로젝트 명세상 merged 분석의 site는 care pathway, referral, selection, follow-up maturity 차이를 반영하는 구조적 proxy로 해석해야 한다.</w:t>
      </w:r>
    </w:p>
    <w:p>
      <w:pPr>
        <w:pStyle w:val="BodyCustom"/>
        <w:ind w:left="198" w:hanging="198"/>
      </w:pPr>
      <w:r>
        <w:rPr>
          <w:rFonts w:ascii="Noto Sans CJK KR" w:hAnsi="Noto Sans CJK KR" w:eastAsia="Noto Sans CJK KR" w:cs="Noto Sans CJK KR"/>
          <w:b/>
          <w:color w:val="1F3A5F"/>
          <w:sz w:val="20"/>
        </w:rPr>
        <w:t xml:space="preserve">• </w:t>
      </w: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넷째, follow-up 길이의 비대칭성이 크기 때문에 이후 비교는 공통의 직접 관찰 구간(특히 초기 1–2년)에 우선적으로 초점을 맞추는 것이 타당하다. PNU의 긴 꼬리 구간은 SNU보다 훨씬 불안정할 가능성이 높다.</w:t>
      </w:r>
    </w:p>
    <w:p>
      <w:pPr>
        <w:pStyle w:val="Heading1Custom"/>
      </w:pPr>
      <w:r>
        <w:rPr>
          <w:rFonts w:ascii="Noto Sans CJK KR" w:hAnsi="Noto Sans CJK KR" w:eastAsia="Noto Sans CJK KR" w:cs="Noto Sans CJK KR"/>
          <w:b/>
          <w:color w:val="1F3A5F"/>
          <w:sz w:val="26"/>
        </w:rPr>
        <w:t>6. 논문용 초안 문장</w:t>
      </w:r>
    </w:p>
    <w:p>
      <w:pPr>
        <w:pStyle w:val="Heading2Custom"/>
      </w:pPr>
      <w:r>
        <w:rPr>
          <w:rFonts w:ascii="Noto Sans CJK KR" w:hAnsi="Noto Sans CJK KR" w:eastAsia="Noto Sans CJK KR" w:cs="Noto Sans CJK KR"/>
          <w:b/>
          <w:color w:val="2F5D7E"/>
          <w:sz w:val="22"/>
        </w:rPr>
        <w:t>6.1 한국어 서술 초안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분석 전 기술통계 단계에서 전체 통합 데이터는 262명(PNU 54명, SNU 208명)으로 구성되었고, 중복된 site+id 행은 없었으며 핵심 분석 변수의 결측 및 invalid code도 확인되지 않았다. merged 기준 여성은 92명(35.1%)이었고, cohort entry 시 연령은 평균 21.96세(SD 4.62), 중앙값 20.50세(IQR 19.08–24.29)였다. 관찰 추적기간은 평균 3.02년(SD 2.51), 중앙값 2.07년(IQR 0.92–5.00)이었고, 총 관찰 person-years는 790.50이었다. outcome status는 right censoring 199명(76.0%), transition 50명(19.1%), remission 13명(5.0%)이었다. 그러나 사이트 간 구조적 이질성이 뚜렷했는데, PNU는 SNU보다 더 고연령이었고 추적기간이 짧았으며 remission이 관찰된 반면, SNU는 남성 비율이 높고 추적기간이 길었으며 remission 사건은 구조적으로 존재하지 않았다.</w:t>
      </w:r>
    </w:p>
    <w:p>
      <w:pPr>
        <w:pStyle w:val="Heading2Custom"/>
      </w:pPr>
      <w:r>
        <w:rPr>
          <w:rFonts w:ascii="Noto Sans CJK KR" w:hAnsi="Noto Sans CJK KR" w:eastAsia="Noto Sans CJK KR" w:cs="Noto Sans CJK KR"/>
          <w:b/>
          <w:color w:val="2F5D7E"/>
          <w:sz w:val="22"/>
        </w:rPr>
        <w:t>6.2 English draft paragraph</w:t>
      </w:r>
    </w:p>
    <w:p>
      <w:pPr>
        <w:pStyle w:val="BodyCustom"/>
      </w:pPr>
      <w:r>
        <w:rPr>
          <w:rFonts w:ascii="Noto Sans CJK KR" w:hAnsi="Noto Sans CJK KR" w:eastAsia="Noto Sans CJK KR" w:cs="Noto Sans CJK KR"/>
          <w:b w:val="0"/>
          <w:color w:val="222222"/>
          <w:sz w:val="20"/>
        </w:rPr>
        <w:t>In the pre-analysis descriptive stage, the integrated dataset comprised 262 unique participants (54 from PNU and 208 from SNU), with no duplicated site+id rows, no missing values in the core analysis variables, and no invalid coding flags. In the merged cohort, 92 participants (35.1%) were female. The mean age at cohort entry was 21.96 years (SD 4.62) and the median age was 20.50 years (IQR 19.08–24.29). The mean follow-up duration was 3.02 years (SD 2.51), with a median of 2.07 years (IQR 0.92–5.00), corresponding to 790.50 total observed person-years. Outcome status was right censoring in 199 participants (76.0%), transition in 50 (19.1%), and remission in 13 (5.0%). However, marked site-level heterogeneity was present: compared with SNU, PNU enrolled an older and more sex-balanced cohort, had substantially shorter follow-up, and included remission events, whereas remission was structurally absent in SNU.</w:t>
      </w:r>
    </w:p>
    <w:p>
      <w:pPr>
        <w:pStyle w:val="Heading1Custom"/>
      </w:pPr>
      <w:r>
        <w:rPr>
          <w:rFonts w:ascii="Noto Sans CJK KR" w:hAnsi="Noto Sans CJK KR" w:eastAsia="Noto Sans CJK KR" w:cs="Noto Sans CJK KR"/>
          <w:b/>
          <w:color w:val="1F3A5F"/>
          <w:sz w:val="26"/>
        </w:rPr>
        <w:t>7. Source note</w:t>
      </w:r>
    </w:p>
    <w:p>
      <w:pPr>
        <w:pStyle w:val="BodySmall"/>
      </w:pPr>
      <w:r>
        <w:rPr>
          <w:rFonts w:ascii="Noto Sans CJK KR" w:hAnsi="Noto Sans CJK KR" w:eastAsia="Noto Sans CJK KR" w:cs="Noto Sans CJK KR"/>
          <w:b w:val="0"/>
          <w:color w:val="444444"/>
          <w:sz w:val="18"/>
        </w:rPr>
        <w:t>All numerical values in this report were transcribed from the uploaded stage0 output files:</w:t>
      </w:r>
    </w:p>
    <w:p>
      <w:pPr>
        <w:pStyle w:val="BodySmall"/>
      </w:pPr>
      <w:r>
        <w:rPr>
          <w:rFonts w:ascii="Noto Sans CJK KR" w:hAnsi="Noto Sans CJK KR" w:eastAsia="Noto Sans CJK KR" w:cs="Noto Sans CJK KR"/>
          <w:b w:val="0"/>
          <w:color w:val="444444"/>
          <w:sz w:val="18"/>
        </w:rPr>
        <w:t>• DESC__stage0_preanalysis_data_inspection__PNU_SNU_merged__compact.csv</w:t>
      </w:r>
    </w:p>
    <w:p>
      <w:pPr>
        <w:pStyle w:val="BodySmall"/>
      </w:pPr>
      <w:r>
        <w:rPr>
          <w:rFonts w:ascii="Noto Sans CJK KR" w:hAnsi="Noto Sans CJK KR" w:eastAsia="Noto Sans CJK KR" w:cs="Noto Sans CJK KR"/>
          <w:b w:val="0"/>
          <w:color w:val="444444"/>
          <w:sz w:val="18"/>
        </w:rPr>
        <w:t>• DESC__stage0_preanalysis_data_inspection__PNU_SNU_merged__master.csv</w:t>
      </w:r>
    </w:p>
    <w:p>
      <w:pPr>
        <w:pStyle w:val="BodySmall"/>
      </w:pPr>
      <w:r>
        <w:rPr>
          <w:rFonts w:ascii="Noto Sans CJK KR" w:hAnsi="Noto Sans CJK KR" w:eastAsia="Noto Sans CJK KR" w:cs="Noto Sans CJK KR"/>
          <w:b w:val="0"/>
          <w:color w:val="444444"/>
          <w:sz w:val="18"/>
        </w:rPr>
        <w:t>Variable definitions follow the project data dictionary, where days_followup denotes elapsed follow-up time in days and status_num is coded as 0=right censoring, 1=transition, 2=remission. The data dictionary also states that remission is structurally absent in SNU.</w:t>
      </w:r>
    </w:p>
    <w:p>
      <w:pPr>
        <w:pStyle w:val="BodySmall"/>
      </w:pPr>
      <w:r>
        <w:rPr>
          <w:rFonts w:ascii="Noto Sans CJK KR" w:hAnsi="Noto Sans CJK KR" w:eastAsia="Noto Sans CJK KR" w:cs="Noto Sans CJK KR"/>
          <w:b w:val="0"/>
          <w:color w:val="444444"/>
          <w:sz w:val="18"/>
        </w:rPr>
        <w:t>Interpretive caution for merged site differences follows the project specification: site should be treated as a structural proxy for context, referral, selection, or follow-up maturity rather than as a clean causal treatment effect.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color w:val="7A7A7A"/>
        <w:sz w:val="16"/>
      </w:rPr>
      <w:t>Pre-analysis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80" w:line="240" w:lineRule="auto"/>
    </w:pPr>
  </w:style>
  <w:style w:type="paragraph" w:customStyle="1" w:styleId="SubtitleCustom">
    <w:name w:val="SubtitleCustom"/>
    <w:basedOn w:val="Normal"/>
    <w:pPr>
      <w:spacing w:before="0" w:after="40" w:line="240" w:lineRule="auto"/>
    </w:pPr>
  </w:style>
  <w:style w:type="paragraph" w:customStyle="1" w:styleId="Heading1Custom">
    <w:name w:val="Heading1Custom"/>
    <w:basedOn w:val="Normal"/>
    <w:pPr>
      <w:keepNext/>
      <w:spacing w:before="240" w:after="80" w:line="240" w:lineRule="auto"/>
    </w:pPr>
  </w:style>
  <w:style w:type="paragraph" w:customStyle="1" w:styleId="Heading2Custom">
    <w:name w:val="Heading2Custom"/>
    <w:basedOn w:val="Normal"/>
    <w:pPr>
      <w:keepNext/>
      <w:spacing w:before="160" w:after="60" w:line="240" w:lineRule="auto"/>
    </w:pPr>
  </w:style>
  <w:style w:type="paragraph" w:customStyle="1" w:styleId="BodyCustom">
    <w:name w:val="BodyCustom"/>
    <w:basedOn w:val="Normal"/>
    <w:pPr>
      <w:spacing w:before="0" w:after="100" w:line="293" w:lineRule="auto"/>
    </w:pPr>
  </w:style>
  <w:style w:type="paragraph" w:customStyle="1" w:styleId="BodySmall">
    <w:name w:val="BodySmall"/>
    <w:basedOn w:val="Normal"/>
    <w:pPr>
      <w:spacing w:before="0" w:after="80" w:line="276" w:lineRule="auto"/>
    </w:pPr>
  </w:style>
  <w:style w:type="paragraph" w:customStyle="1" w:styleId="CalloutCustom">
    <w:name w:val="CalloutCustom"/>
    <w:basedOn w:val="Normal"/>
    <w:pPr>
      <w:spacing w:before="0" w:after="80" w:line="283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