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AE" w:rsidRDefault="002449FA">
      <w:pPr>
        <w:pStyle w:val="Heading1"/>
      </w:pPr>
      <w:bookmarkStart w:id="0" w:name="introduction"/>
      <w:r>
        <w:t>Introduction</w:t>
      </w:r>
      <w:bookmarkEnd w:id="0"/>
    </w:p>
    <w:p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:rsidR="003913AE" w:rsidRDefault="002449FA">
      <w:pPr>
        <w:pStyle w:val="Heading2"/>
      </w:pPr>
      <w:bookmarkStart w:id="3" w:name="privacy"/>
      <w:r>
        <w:t>Privacy</w:t>
      </w:r>
      <w:bookmarkEnd w:id="3"/>
    </w:p>
    <w:p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:rsidR="003913AE" w:rsidRDefault="002449FA" w:rsidP="00E55BC9">
      <w:pPr>
        <w:pStyle w:val="Heading3"/>
      </w:pPr>
      <w:bookmarkStart w:id="13" w:name="laws-of-identity---this-sounds-like-juri"/>
      <w:r>
        <w:t>Laws of Identity - this sounds like jurisdictions and real laws - is that the intent?</w:t>
      </w:r>
      <w:bookmarkEnd w:id="13"/>
    </w:p>
    <w:p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:rsidR="003913AE" w:rsidRDefault="002449FA" w:rsidP="00E55BC9">
      <w:pPr>
        <w:pStyle w:val="Heading2"/>
      </w:pPr>
      <w:bookmarkStart w:id="15" w:name="digital-identity-lifecycle"/>
      <w:r>
        <w:t>Digital Identity Lifecycle ?</w:t>
      </w:r>
      <w:bookmarkEnd w:id="15"/>
    </w:p>
    <w:p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:rsidR="00F44270" w:rsidRDefault="002449FA" w:rsidP="00E55BC9">
      <w:pPr>
        <w:pStyle w:val="Heading2"/>
      </w:pPr>
      <w:bookmarkStart w:id="17" w:name="proofing---we-need-to-avoid-this-word-th"/>
      <w:r>
        <w:t xml:space="preserve">Proofing </w:t>
      </w:r>
      <w:r w:rsidR="00F44270">
        <w:t>, B</w:t>
      </w:r>
      <w:r>
        <w:t xml:space="preserve">inding or </w:t>
      </w:r>
      <w:r w:rsidR="00F44270">
        <w:t>R</w:t>
      </w:r>
      <w:r>
        <w:t>egistration?</w:t>
      </w:r>
    </w:p>
    <w:p w:rsidR="003913AE" w:rsidRDefault="002449FA" w:rsidP="00F44270">
      <w:pPr>
        <w:pStyle w:val="Heading3"/>
      </w:pPr>
      <w:bookmarkStart w:id="18" w:name="_GoBack"/>
      <w:bookmarkEnd w:id="18"/>
      <w:r>
        <w:t>ve</w:t>
      </w:r>
      <w:r>
        <w:t>rification/validation</w:t>
      </w:r>
      <w:bookmarkEnd w:id="17"/>
    </w:p>
    <w:p w:rsidR="003913AE" w:rsidRDefault="002449FA" w:rsidP="00E55BC9">
      <w:pPr>
        <w:pStyle w:val="Heading2"/>
      </w:pPr>
      <w:bookmarkStart w:id="19" w:name="credentials"/>
      <w:r>
        <w:t>Credentials</w:t>
      </w:r>
      <w:bookmarkEnd w:id="19"/>
    </w:p>
    <w:p w:rsidR="003913AE" w:rsidRDefault="002449FA">
      <w:pPr>
        <w:pStyle w:val="Heading1"/>
      </w:pPr>
      <w:bookmarkStart w:id="20" w:name="access-control"/>
      <w:r>
        <w:t>Access Control</w:t>
      </w:r>
      <w:bookmarkEnd w:id="20"/>
    </w:p>
    <w:p w:rsidR="003913AE" w:rsidRDefault="002449FA">
      <w:pPr>
        <w:pStyle w:val="Heading2"/>
      </w:pPr>
      <w:bookmarkStart w:id="21" w:name="authentication"/>
      <w:r>
        <w:lastRenderedPageBreak/>
        <w:t>Authentication</w:t>
      </w:r>
      <w:bookmarkEnd w:id="21"/>
    </w:p>
    <w:p w:rsidR="003913AE" w:rsidRDefault="002449FA">
      <w:pPr>
        <w:pStyle w:val="Heading3"/>
      </w:pPr>
      <w:bookmarkStart w:id="22" w:name="dynamic-authentication-risk-based"/>
      <w:r>
        <w:t>Dynamic Authentication (risk-based)</w:t>
      </w:r>
      <w:bookmarkEnd w:id="22"/>
    </w:p>
    <w:p w:rsidR="003913AE" w:rsidRDefault="002449FA">
      <w:pPr>
        <w:pStyle w:val="Heading3"/>
      </w:pPr>
      <w:bookmarkStart w:id="23" w:name="multi-factor-authentication"/>
      <w:r>
        <w:t>Multi-Factor Authentication</w:t>
      </w:r>
      <w:bookmarkEnd w:id="23"/>
    </w:p>
    <w:p w:rsidR="003913AE" w:rsidRDefault="002449FA">
      <w:pPr>
        <w:pStyle w:val="Heading3"/>
      </w:pPr>
      <w:bookmarkStart w:id="24" w:name="single-sign-on-within-a-domain"/>
      <w:r>
        <w:t>Single Sign-on within a domain</w:t>
      </w:r>
      <w:bookmarkEnd w:id="24"/>
    </w:p>
    <w:p w:rsidR="003913AE" w:rsidRDefault="002449FA">
      <w:pPr>
        <w:pStyle w:val="Heading3"/>
      </w:pPr>
      <w:bookmarkStart w:id="25" w:name="centralised-authentication-service"/>
      <w:r>
        <w:t>Centralised authentication service</w:t>
      </w:r>
      <w:bookmarkEnd w:id="25"/>
    </w:p>
    <w:p w:rsidR="003913AE" w:rsidRDefault="002449FA">
      <w:pPr>
        <w:pStyle w:val="Heading3"/>
      </w:pPr>
      <w:bookmarkStart w:id="26" w:name="federated-authentication-between-domains"/>
      <w:r>
        <w:t>Federated Authentication (between domains)</w:t>
      </w:r>
      <w:bookmarkEnd w:id="26"/>
    </w:p>
    <w:p w:rsidR="003913AE" w:rsidRDefault="002449FA">
      <w:pPr>
        <w:pStyle w:val="Heading3"/>
      </w:pPr>
      <w:bookmarkStart w:id="27" w:name="device-identity-for-corroboration"/>
      <w:r>
        <w:t>Device identity for</w:t>
      </w:r>
      <w:r>
        <w:t xml:space="preserve"> corroboration</w:t>
      </w:r>
      <w:bookmarkEnd w:id="27"/>
    </w:p>
    <w:p w:rsidR="003913AE" w:rsidRDefault="002449FA">
      <w:pPr>
        <w:pStyle w:val="Heading3"/>
      </w:pPr>
      <w:bookmarkStart w:id="28" w:name="fast-identity-online-fido-and-its-cousin"/>
      <w:r>
        <w:t>Fast Identity Online (FIDO) and its cousins</w:t>
      </w:r>
      <w:bookmarkEnd w:id="28"/>
    </w:p>
    <w:p w:rsidR="003913AE" w:rsidRDefault="002449FA">
      <w:pPr>
        <w:pStyle w:val="Heading3"/>
      </w:pPr>
      <w:bookmarkStart w:id="29" w:name="session-management"/>
      <w:r>
        <w:t>Session Management</w:t>
      </w:r>
      <w:bookmarkEnd w:id="29"/>
    </w:p>
    <w:p w:rsidR="003913AE" w:rsidRDefault="002449FA">
      <w:pPr>
        <w:pStyle w:val="Heading2"/>
      </w:pPr>
      <w:bookmarkStart w:id="30" w:name="authorization"/>
      <w:r>
        <w:t>Authorization</w:t>
      </w:r>
      <w:bookmarkEnd w:id="30"/>
    </w:p>
    <w:p w:rsidR="003913AE" w:rsidRDefault="002449FA">
      <w:pPr>
        <w:pStyle w:val="Heading3"/>
      </w:pPr>
      <w:bookmarkStart w:id="31" w:name="resources-to-protect"/>
      <w:r>
        <w:t>Resources to protect</w:t>
      </w:r>
      <w:bookmarkEnd w:id="31"/>
    </w:p>
    <w:p w:rsidR="003913AE" w:rsidRDefault="002449FA">
      <w:pPr>
        <w:pStyle w:val="Heading3"/>
      </w:pPr>
      <w:bookmarkStart w:id="32" w:name="authorisation"/>
      <w:r>
        <w:t>Authorisation</w:t>
      </w:r>
      <w:bookmarkEnd w:id="32"/>
    </w:p>
    <w:p w:rsidR="003913AE" w:rsidRDefault="002449FA">
      <w:pPr>
        <w:pStyle w:val="Heading4"/>
      </w:pPr>
      <w:bookmarkStart w:id="33" w:name="acls"/>
      <w:r>
        <w:t>ACL’s</w:t>
      </w:r>
      <w:bookmarkEnd w:id="33"/>
    </w:p>
    <w:p w:rsidR="003913AE" w:rsidRDefault="002449FA">
      <w:pPr>
        <w:pStyle w:val="Heading4"/>
      </w:pPr>
      <w:bookmarkStart w:id="34" w:name="rbac"/>
      <w:r>
        <w:t>RBAC</w:t>
      </w:r>
      <w:bookmarkEnd w:id="34"/>
    </w:p>
    <w:p w:rsidR="003913AE" w:rsidRDefault="002449FA">
      <w:pPr>
        <w:pStyle w:val="Heading4"/>
      </w:pPr>
      <w:bookmarkStart w:id="35" w:name="abac-dynamic-access-management"/>
      <w:r>
        <w:t>ABAC / dynamic access management</w:t>
      </w:r>
      <w:bookmarkEnd w:id="35"/>
    </w:p>
    <w:p w:rsidR="003913AE" w:rsidRDefault="002449FA">
      <w:pPr>
        <w:pStyle w:val="Heading5"/>
      </w:pPr>
      <w:bookmarkStart w:id="36" w:name="policy-management-solutions"/>
      <w:r>
        <w:t>Policy Management solutions</w:t>
      </w:r>
      <w:bookmarkEnd w:id="36"/>
    </w:p>
    <w:p w:rsidR="003913AE" w:rsidRDefault="002449FA">
      <w:pPr>
        <w:pStyle w:val="Heading3"/>
      </w:pPr>
      <w:bookmarkStart w:id="37" w:name="privileged-access-management"/>
      <w:r>
        <w:t>Privileged Access Management</w:t>
      </w:r>
      <w:bookmarkEnd w:id="37"/>
    </w:p>
    <w:p w:rsidR="003913AE" w:rsidRDefault="002449FA">
      <w:pPr>
        <w:pStyle w:val="Heading4"/>
      </w:pPr>
      <w:bookmarkStart w:id="38" w:name="alignment-to-risk-management"/>
      <w:r>
        <w:t>Alignment to Risk Management</w:t>
      </w:r>
      <w:bookmarkEnd w:id="38"/>
    </w:p>
    <w:p w:rsidR="003913AE" w:rsidRDefault="002449FA">
      <w:pPr>
        <w:pStyle w:val="Heading1"/>
      </w:pPr>
      <w:bookmarkStart w:id="39" w:name="regulations-and-laws"/>
      <w:r>
        <w:t xml:space="preserve">Regulations </w:t>
      </w:r>
      <w:r w:rsidR="00E55BC9">
        <w:t xml:space="preserve">And </w:t>
      </w:r>
      <w:r>
        <w:t>Laws</w:t>
      </w:r>
      <w:bookmarkEnd w:id="39"/>
    </w:p>
    <w:p w:rsidR="003913AE" w:rsidRDefault="002449FA" w:rsidP="00E55BC9">
      <w:pPr>
        <w:pStyle w:val="Heading2"/>
      </w:pPr>
      <w:bookmarkStart w:id="40" w:name="privacy-generic"/>
      <w:r>
        <w:t>Privacy (generic)</w:t>
      </w:r>
      <w:bookmarkEnd w:id="40"/>
    </w:p>
    <w:p w:rsidR="003913AE" w:rsidRDefault="002449FA" w:rsidP="00E55BC9">
      <w:pPr>
        <w:pStyle w:val="Heading2"/>
      </w:pPr>
      <w:bookmarkStart w:id="41" w:name="survey-of-jurisdictions"/>
      <w:r>
        <w:t>Survey of Jurisdictions</w:t>
      </w:r>
      <w:bookmarkEnd w:id="41"/>
    </w:p>
    <w:p w:rsidR="003913AE" w:rsidRDefault="002449FA" w:rsidP="00E55BC9">
      <w:pPr>
        <w:pStyle w:val="Heading3"/>
      </w:pPr>
      <w:bookmarkStart w:id="42" w:name="sox-hippa-gdpr-cbpr-etc."/>
      <w:r>
        <w:t>SOX, HiPPA, GDPR, CBPR etc.</w:t>
      </w:r>
      <w:bookmarkEnd w:id="42"/>
    </w:p>
    <w:p w:rsidR="003913AE" w:rsidRDefault="002449FA" w:rsidP="00E55BC9">
      <w:pPr>
        <w:pStyle w:val="Heading2"/>
      </w:pPr>
      <w:bookmarkStart w:id="43" w:name="consent-management"/>
      <w:r>
        <w:t>Consent management</w:t>
      </w:r>
      <w:bookmarkEnd w:id="43"/>
    </w:p>
    <w:p w:rsidR="003913AE" w:rsidRDefault="002449FA">
      <w:pPr>
        <w:pStyle w:val="Heading1"/>
      </w:pPr>
      <w:bookmarkStart w:id="44" w:name="workforce-iam-internal-iam"/>
      <w:r>
        <w:lastRenderedPageBreak/>
        <w:t xml:space="preserve">Workforce IAM </w:t>
      </w:r>
      <w:r w:rsidR="00E55BC9">
        <w:t xml:space="preserve">/ </w:t>
      </w:r>
      <w:r>
        <w:t>Internal IAM</w:t>
      </w:r>
      <w:bookmarkEnd w:id="44"/>
    </w:p>
    <w:p w:rsidR="003913AE" w:rsidRDefault="002449FA">
      <w:pPr>
        <w:pStyle w:val="Heading2"/>
      </w:pPr>
      <w:bookmarkStart w:id="45" w:name="iam-processes"/>
      <w:r>
        <w:t>IAM processes</w:t>
      </w:r>
      <w:bookmarkEnd w:id="45"/>
    </w:p>
    <w:p w:rsidR="003913AE" w:rsidRDefault="002449FA">
      <w:pPr>
        <w:pStyle w:val="Heading3"/>
      </w:pPr>
      <w:bookmarkStart w:id="46" w:name="joiner-mover-leaver"/>
      <w:r>
        <w:t>Joiner-Mover-Leaver</w:t>
      </w:r>
      <w:bookmarkEnd w:id="46"/>
    </w:p>
    <w:p w:rsidR="003913AE" w:rsidRDefault="002449FA">
      <w:pPr>
        <w:pStyle w:val="Heading3"/>
      </w:pPr>
      <w:bookmarkStart w:id="47" w:name="hr-ownership"/>
      <w:r>
        <w:t>HR ownership</w:t>
      </w:r>
      <w:bookmarkEnd w:id="47"/>
    </w:p>
    <w:p w:rsidR="003913AE" w:rsidRDefault="002449FA">
      <w:pPr>
        <w:pStyle w:val="Heading3"/>
      </w:pPr>
      <w:bookmarkStart w:id="48" w:name="provisioning-on-boarding-and-off-boardin"/>
      <w:r>
        <w:t>Provisioning (On-boarding and Off-boarding)</w:t>
      </w:r>
      <w:bookmarkEnd w:id="48"/>
    </w:p>
    <w:p w:rsidR="003913AE" w:rsidRDefault="002449FA">
      <w:pPr>
        <w:pStyle w:val="Heading3"/>
      </w:pPr>
      <w:bookmarkStart w:id="49" w:name="handling-business-partners-people"/>
      <w:r>
        <w:t>Handling Business partner</w:t>
      </w:r>
      <w:r>
        <w:t>s’ people</w:t>
      </w:r>
      <w:bookmarkEnd w:id="49"/>
    </w:p>
    <w:p w:rsidR="003913AE" w:rsidRDefault="002449FA">
      <w:pPr>
        <w:pStyle w:val="Heading3"/>
      </w:pPr>
      <w:bookmarkStart w:id="50" w:name="re-certification"/>
      <w:r>
        <w:t>Re-certification</w:t>
      </w:r>
      <w:bookmarkEnd w:id="50"/>
    </w:p>
    <w:p w:rsidR="003913AE" w:rsidRDefault="002449FA" w:rsidP="00E55BC9">
      <w:pPr>
        <w:pStyle w:val="Heading2"/>
      </w:pPr>
      <w:bookmarkStart w:id="51" w:name="analytics-and-intelligence"/>
      <w:r>
        <w:t>Analytics and Intelligence</w:t>
      </w:r>
      <w:bookmarkEnd w:id="51"/>
    </w:p>
    <w:p w:rsidR="003913AE" w:rsidRDefault="002449FA">
      <w:pPr>
        <w:pStyle w:val="Heading1"/>
      </w:pPr>
      <w:bookmarkStart w:id="52" w:name="consumercitizen-iam-1"/>
      <w:r>
        <w:t>Consumer</w:t>
      </w:r>
      <w:r w:rsidR="00E55BC9">
        <w:t>/</w:t>
      </w:r>
      <w:r>
        <w:t>Citizen IAM</w:t>
      </w:r>
      <w:bookmarkEnd w:id="52"/>
    </w:p>
    <w:p w:rsidR="003913AE" w:rsidRDefault="002449FA">
      <w:pPr>
        <w:pStyle w:val="Heading2"/>
      </w:pPr>
      <w:bookmarkStart w:id="53" w:name="public-sector-vs.private-sector"/>
      <w:r>
        <w:t>Public sector vs. private sector</w:t>
      </w:r>
      <w:bookmarkEnd w:id="53"/>
    </w:p>
    <w:p w:rsidR="003913AE" w:rsidRDefault="002449FA">
      <w:pPr>
        <w:pStyle w:val="Heading2"/>
      </w:pPr>
      <w:bookmarkStart w:id="54" w:name="social-media"/>
      <w:r>
        <w:t>Social media</w:t>
      </w:r>
      <w:bookmarkEnd w:id="54"/>
    </w:p>
    <w:p w:rsidR="003913AE" w:rsidRDefault="002449FA">
      <w:pPr>
        <w:pStyle w:val="Heading2"/>
      </w:pPr>
      <w:bookmarkStart w:id="55" w:name="consumer-journey-identification-to-loyal"/>
      <w:r>
        <w:t>Consumer journey (identification to loyal customer)</w:t>
      </w:r>
      <w:bookmarkEnd w:id="55"/>
    </w:p>
    <w:p w:rsidR="00E55BC9" w:rsidRDefault="00E55BC9" w:rsidP="00E55BC9">
      <w:pPr>
        <w:pStyle w:val="Heading3"/>
      </w:pPr>
      <w:bookmarkStart w:id="56" w:name="digital-legacy---handling-deceased-perso"/>
      <w:bookmarkStart w:id="57" w:name="registration-of-consumers"/>
      <w:r>
        <w:t>Registration of consumers</w:t>
      </w:r>
      <w:bookmarkEnd w:id="57"/>
    </w:p>
    <w:p w:rsidR="00E55BC9" w:rsidRDefault="00E55BC9" w:rsidP="00E55BC9">
      <w:pPr>
        <w:pStyle w:val="Heading3"/>
      </w:pPr>
      <w:bookmarkStart w:id="58" w:name="authentication-assurance-meeting-loa-req"/>
      <w:r>
        <w:t>Authentication assurance (meeting LoA requiremetns)</w:t>
      </w:r>
      <w:bookmarkEnd w:id="58"/>
    </w:p>
    <w:p w:rsidR="003913AE" w:rsidRDefault="002449FA" w:rsidP="00E55BC9">
      <w:pPr>
        <w:pStyle w:val="Heading3"/>
      </w:pPr>
      <w:r>
        <w:t>Digital legacy - handling deceased persons’ digital ID</w:t>
      </w:r>
      <w:bookmarkEnd w:id="56"/>
    </w:p>
    <w:p w:rsidR="003913AE" w:rsidRDefault="002449FA" w:rsidP="00E55BC9">
      <w:pPr>
        <w:pStyle w:val="Heading2"/>
      </w:pPr>
      <w:bookmarkStart w:id="59" w:name="self-soverign-identity"/>
      <w:r>
        <w:t>Self-S</w:t>
      </w:r>
      <w:r w:rsidR="00E55BC9" w:rsidRPr="00E55BC9">
        <w:t>overeign</w:t>
      </w:r>
      <w:r>
        <w:t xml:space="preserve"> Identity</w:t>
      </w:r>
      <w:bookmarkEnd w:id="59"/>
    </w:p>
    <w:p w:rsidR="00E55BC9" w:rsidRDefault="00E55BC9" w:rsidP="00E55BC9">
      <w:pPr>
        <w:pStyle w:val="Heading3"/>
      </w:pPr>
      <w:bookmarkStart w:id="60" w:name="blockchain-id-ssi"/>
      <w:r>
        <w:t>Blockchain ID</w:t>
      </w:r>
      <w:bookmarkEnd w:id="60"/>
    </w:p>
    <w:p w:rsidR="003913AE" w:rsidRDefault="002449FA">
      <w:pPr>
        <w:pStyle w:val="Heading1"/>
      </w:pPr>
      <w:bookmarkStart w:id="61" w:name="non-human-entity"/>
      <w:r>
        <w:t>N</w:t>
      </w:r>
      <w:r>
        <w:t>on</w:t>
      </w:r>
      <w:r w:rsidR="00E55BC9">
        <w:t>-</w:t>
      </w:r>
      <w:r>
        <w:t>Human Entity</w:t>
      </w:r>
      <w:bookmarkEnd w:id="61"/>
    </w:p>
    <w:p w:rsidR="003913AE" w:rsidRDefault="002449FA">
      <w:pPr>
        <w:pStyle w:val="Heading2"/>
      </w:pPr>
      <w:bookmarkStart w:id="62" w:name="operational-technology-ot"/>
      <w:r>
        <w:t>Operational Technology (OT)</w:t>
      </w:r>
      <w:bookmarkEnd w:id="62"/>
    </w:p>
    <w:p w:rsidR="003913AE" w:rsidRDefault="002449FA">
      <w:pPr>
        <w:pStyle w:val="Heading2"/>
      </w:pPr>
      <w:bookmarkStart w:id="63" w:name="iot-devices"/>
      <w:r>
        <w:t>IoT devices</w:t>
      </w:r>
      <w:bookmarkEnd w:id="63"/>
    </w:p>
    <w:p w:rsidR="003913AE" w:rsidRDefault="002449FA">
      <w:pPr>
        <w:pStyle w:val="Heading3"/>
      </w:pPr>
      <w:bookmarkStart w:id="64" w:name="iot-sectors"/>
      <w:r>
        <w:t>IoT Sectors</w:t>
      </w:r>
      <w:bookmarkEnd w:id="64"/>
    </w:p>
    <w:p w:rsidR="003913AE" w:rsidRDefault="002449FA">
      <w:pPr>
        <w:pStyle w:val="Heading4"/>
      </w:pPr>
      <w:bookmarkStart w:id="65" w:name="home-automation"/>
      <w:r>
        <w:t>Home Automation</w:t>
      </w:r>
      <w:bookmarkEnd w:id="65"/>
    </w:p>
    <w:p w:rsidR="003913AE" w:rsidRDefault="002449FA">
      <w:pPr>
        <w:pStyle w:val="Heading4"/>
      </w:pPr>
      <w:bookmarkStart w:id="66" w:name="personal-wearables"/>
      <w:r>
        <w:lastRenderedPageBreak/>
        <w:t>Personal (wearables)</w:t>
      </w:r>
      <w:bookmarkEnd w:id="66"/>
    </w:p>
    <w:p w:rsidR="003913AE" w:rsidRDefault="002449FA">
      <w:pPr>
        <w:pStyle w:val="Heading4"/>
      </w:pPr>
      <w:bookmarkStart w:id="67" w:name="implants"/>
      <w:r>
        <w:t>Implants</w:t>
      </w:r>
      <w:bookmarkEnd w:id="67"/>
    </w:p>
    <w:p w:rsidR="003913AE" w:rsidRDefault="002449FA">
      <w:pPr>
        <w:pStyle w:val="Heading4"/>
      </w:pPr>
      <w:bookmarkStart w:id="68" w:name="plant-automation"/>
      <w:r>
        <w:t>Plant autom</w:t>
      </w:r>
      <w:r>
        <w:t>ation</w:t>
      </w:r>
      <w:bookmarkEnd w:id="68"/>
    </w:p>
    <w:p w:rsidR="003913AE" w:rsidRDefault="002449FA">
      <w:pPr>
        <w:pStyle w:val="Heading4"/>
      </w:pPr>
      <w:bookmarkStart w:id="69" w:name="vehicle"/>
      <w:r>
        <w:t>Vehicle</w:t>
      </w:r>
      <w:bookmarkEnd w:id="69"/>
    </w:p>
    <w:p w:rsidR="003913AE" w:rsidRDefault="002449FA">
      <w:pPr>
        <w:pStyle w:val="Heading4"/>
      </w:pPr>
      <w:bookmarkStart w:id="70" w:name="smart-cities"/>
      <w:r>
        <w:t>Smart cities</w:t>
      </w:r>
      <w:bookmarkEnd w:id="70"/>
    </w:p>
    <w:p w:rsidR="003913AE" w:rsidRDefault="002449FA">
      <w:pPr>
        <w:pStyle w:val="Heading4"/>
      </w:pPr>
      <w:bookmarkStart w:id="71" w:name="agricuture"/>
      <w:r>
        <w:t>Agricuture</w:t>
      </w:r>
      <w:bookmarkEnd w:id="71"/>
    </w:p>
    <w:p w:rsidR="003913AE" w:rsidRDefault="002449FA">
      <w:pPr>
        <w:pStyle w:val="Heading4"/>
      </w:pPr>
      <w:bookmarkStart w:id="72" w:name="buildiingindustrial"/>
      <w:r>
        <w:t>Buildiing/Industrial</w:t>
      </w:r>
      <w:bookmarkEnd w:id="72"/>
    </w:p>
    <w:p w:rsidR="003913AE" w:rsidRDefault="002449FA">
      <w:pPr>
        <w:pStyle w:val="Heading4"/>
      </w:pPr>
      <w:bookmarkStart w:id="73" w:name="utilities"/>
      <w:r>
        <w:t>Utilities</w:t>
      </w:r>
      <w:bookmarkEnd w:id="73"/>
    </w:p>
    <w:p w:rsidR="003913AE" w:rsidRDefault="002449FA">
      <w:pPr>
        <w:pStyle w:val="Heading2"/>
      </w:pPr>
      <w:bookmarkStart w:id="74" w:name="rpa-robotics"/>
      <w:r>
        <w:t>RPA / robotics</w:t>
      </w:r>
      <w:bookmarkEnd w:id="74"/>
    </w:p>
    <w:p w:rsidR="003913AE" w:rsidRDefault="002449FA">
      <w:pPr>
        <w:pStyle w:val="Heading2"/>
      </w:pPr>
      <w:bookmarkStart w:id="75" w:name="security-requirements"/>
      <w:r>
        <w:t>Security requirements</w:t>
      </w:r>
      <w:bookmarkEnd w:id="75"/>
    </w:p>
    <w:p w:rsidR="003913AE" w:rsidRDefault="002449FA">
      <w:pPr>
        <w:pStyle w:val="Heading1"/>
      </w:pPr>
      <w:bookmarkStart w:id="76" w:name="iam-architecture-and-solutions"/>
      <w:r>
        <w:t xml:space="preserve">IAM </w:t>
      </w:r>
      <w:r w:rsidR="00E55BC9">
        <w:t>Architecture And Solutions</w:t>
      </w:r>
      <w:bookmarkEnd w:id="76"/>
    </w:p>
    <w:p w:rsidR="003913AE" w:rsidRDefault="002449FA">
      <w:pPr>
        <w:pStyle w:val="Heading2"/>
      </w:pPr>
      <w:bookmarkStart w:id="77" w:name="business-system"/>
      <w:r>
        <w:t>Business System</w:t>
      </w:r>
      <w:bookmarkEnd w:id="77"/>
    </w:p>
    <w:p w:rsidR="003913AE" w:rsidRDefault="002449FA">
      <w:pPr>
        <w:pStyle w:val="Heading3"/>
      </w:pPr>
      <w:bookmarkStart w:id="78" w:name="business-processes"/>
      <w:r>
        <w:t>Business Processes</w:t>
      </w:r>
      <w:bookmarkEnd w:id="78"/>
    </w:p>
    <w:p w:rsidR="003913AE" w:rsidRDefault="002449FA">
      <w:pPr>
        <w:pStyle w:val="Heading4"/>
      </w:pPr>
      <w:bookmarkStart w:id="79" w:name="provisioning-accounts"/>
      <w:r>
        <w:t>Provisioning accounts</w:t>
      </w:r>
      <w:bookmarkEnd w:id="79"/>
    </w:p>
    <w:p w:rsidR="003913AE" w:rsidRDefault="002449FA">
      <w:pPr>
        <w:pStyle w:val="Heading4"/>
      </w:pPr>
      <w:bookmarkStart w:id="80" w:name="changes-to-accounts"/>
      <w:r>
        <w:t>Changes to accounts</w:t>
      </w:r>
      <w:bookmarkEnd w:id="80"/>
    </w:p>
    <w:p w:rsidR="003913AE" w:rsidRDefault="002449FA">
      <w:pPr>
        <w:pStyle w:val="Heading4"/>
      </w:pPr>
      <w:bookmarkStart w:id="81" w:name="termination-of-accounts"/>
      <w:r>
        <w:t>Termination of accounts</w:t>
      </w:r>
      <w:bookmarkEnd w:id="81"/>
    </w:p>
    <w:p w:rsidR="003913AE" w:rsidRDefault="002449FA">
      <w:pPr>
        <w:pStyle w:val="Heading4"/>
      </w:pPr>
      <w:bookmarkStart w:id="82" w:name="recertification-of-accounts"/>
      <w:r>
        <w:t>Recertification of</w:t>
      </w:r>
      <w:r>
        <w:t xml:space="preserve"> accounts</w:t>
      </w:r>
      <w:bookmarkEnd w:id="82"/>
    </w:p>
    <w:p w:rsidR="003913AE" w:rsidRDefault="002449FA">
      <w:pPr>
        <w:pStyle w:val="Heading3"/>
      </w:pPr>
      <w:bookmarkStart w:id="83" w:name="requirements"/>
      <w:r>
        <w:t>Requirements</w:t>
      </w:r>
      <w:bookmarkEnd w:id="83"/>
    </w:p>
    <w:p w:rsidR="003913AE" w:rsidRDefault="002449FA">
      <w:pPr>
        <w:pStyle w:val="Heading4"/>
      </w:pPr>
      <w:bookmarkStart w:id="84" w:name="high-availability-requirement"/>
      <w:r>
        <w:t>High Availability Requirement</w:t>
      </w:r>
      <w:bookmarkEnd w:id="84"/>
    </w:p>
    <w:p w:rsidR="003913AE" w:rsidRDefault="002449FA">
      <w:pPr>
        <w:pStyle w:val="Heading4"/>
      </w:pPr>
      <w:bookmarkStart w:id="85" w:name="high-performance-requirement"/>
      <w:r>
        <w:t>High Performance Requirement</w:t>
      </w:r>
      <w:bookmarkEnd w:id="85"/>
    </w:p>
    <w:p w:rsidR="003913AE" w:rsidRDefault="002449FA">
      <w:pPr>
        <w:pStyle w:val="Heading4"/>
      </w:pPr>
      <w:bookmarkStart w:id="86" w:name="auditability"/>
      <w:r>
        <w:t>Auditability</w:t>
      </w:r>
      <w:bookmarkEnd w:id="86"/>
    </w:p>
    <w:p w:rsidR="003913AE" w:rsidRDefault="002449FA">
      <w:pPr>
        <w:pStyle w:val="Heading4"/>
      </w:pPr>
      <w:bookmarkStart w:id="87" w:name="recoverability"/>
      <w:r>
        <w:t>Recoverability</w:t>
      </w:r>
      <w:bookmarkEnd w:id="87"/>
    </w:p>
    <w:p w:rsidR="003913AE" w:rsidRDefault="002449FA">
      <w:pPr>
        <w:pStyle w:val="Heading4"/>
      </w:pPr>
      <w:bookmarkStart w:id="88" w:name="access-control-requirement"/>
      <w:r>
        <w:t>Access Control Requirement</w:t>
      </w:r>
      <w:bookmarkEnd w:id="88"/>
    </w:p>
    <w:p w:rsidR="003913AE" w:rsidRDefault="002449FA">
      <w:pPr>
        <w:pStyle w:val="Heading2"/>
      </w:pPr>
      <w:bookmarkStart w:id="89" w:name="information"/>
      <w:r>
        <w:t>Information</w:t>
      </w:r>
      <w:bookmarkEnd w:id="89"/>
    </w:p>
    <w:p w:rsidR="003913AE" w:rsidRDefault="002449FA">
      <w:pPr>
        <w:pStyle w:val="Heading3"/>
      </w:pPr>
      <w:bookmarkStart w:id="90" w:name="identifiers-and-credentials"/>
      <w:r>
        <w:lastRenderedPageBreak/>
        <w:t>Identifiers and Credentials</w:t>
      </w:r>
      <w:bookmarkEnd w:id="90"/>
    </w:p>
    <w:p w:rsidR="003913AE" w:rsidRDefault="002449FA">
      <w:pPr>
        <w:pStyle w:val="Heading3"/>
      </w:pPr>
      <w:bookmarkStart w:id="91" w:name="protection-of-secrets"/>
      <w:r>
        <w:t>Protection of secrets</w:t>
      </w:r>
      <w:bookmarkEnd w:id="91"/>
    </w:p>
    <w:p w:rsidR="003913AE" w:rsidRDefault="002449FA">
      <w:pPr>
        <w:pStyle w:val="Heading4"/>
      </w:pPr>
      <w:bookmarkStart w:id="92" w:name="data-encoding"/>
      <w:r>
        <w:t>Data Encoding</w:t>
      </w:r>
      <w:bookmarkEnd w:id="92"/>
    </w:p>
    <w:p w:rsidR="003913AE" w:rsidRDefault="002449FA">
      <w:pPr>
        <w:pStyle w:val="Heading4"/>
      </w:pPr>
      <w:bookmarkStart w:id="93" w:name="hashing"/>
      <w:r>
        <w:t>Hashing</w:t>
      </w:r>
      <w:bookmarkEnd w:id="93"/>
    </w:p>
    <w:p w:rsidR="003913AE" w:rsidRDefault="002449FA">
      <w:pPr>
        <w:pStyle w:val="Heading4"/>
      </w:pPr>
      <w:bookmarkStart w:id="94" w:name="symetric-encryption"/>
      <w:r>
        <w:t>Symetric Encryption</w:t>
      </w:r>
      <w:bookmarkEnd w:id="94"/>
    </w:p>
    <w:p w:rsidR="003913AE" w:rsidRDefault="002449FA">
      <w:pPr>
        <w:pStyle w:val="Heading4"/>
      </w:pPr>
      <w:bookmarkStart w:id="95" w:name="asymetric-encryption"/>
      <w:r>
        <w:t>Asymetric Encryption</w:t>
      </w:r>
      <w:bookmarkEnd w:id="95"/>
    </w:p>
    <w:p w:rsidR="003913AE" w:rsidRDefault="002449FA">
      <w:pPr>
        <w:pStyle w:val="Heading3"/>
      </w:pPr>
      <w:bookmarkStart w:id="96" w:name="schemas"/>
      <w:r>
        <w:t>Schemas</w:t>
      </w:r>
      <w:bookmarkEnd w:id="96"/>
    </w:p>
    <w:p w:rsidR="003913AE" w:rsidRDefault="002449FA">
      <w:pPr>
        <w:pStyle w:val="Heading4"/>
      </w:pPr>
      <w:bookmarkStart w:id="97" w:name="attributes"/>
      <w:r>
        <w:t>Attributes</w:t>
      </w:r>
      <w:bookmarkEnd w:id="97"/>
    </w:p>
    <w:p w:rsidR="003913AE" w:rsidRDefault="002449FA">
      <w:pPr>
        <w:pStyle w:val="Heading4"/>
      </w:pPr>
      <w:bookmarkStart w:id="98" w:name="data-types"/>
      <w:r>
        <w:t>Data types</w:t>
      </w:r>
      <w:bookmarkEnd w:id="98"/>
    </w:p>
    <w:p w:rsidR="003913AE" w:rsidRDefault="002449FA">
      <w:pPr>
        <w:pStyle w:val="Heading3"/>
      </w:pPr>
      <w:bookmarkStart w:id="99" w:name="segmentation"/>
      <w:r>
        <w:t>Segmentation</w:t>
      </w:r>
      <w:bookmarkEnd w:id="99"/>
    </w:p>
    <w:p w:rsidR="003913AE" w:rsidRDefault="002449FA">
      <w:pPr>
        <w:pStyle w:val="Heading4"/>
      </w:pPr>
      <w:bookmarkStart w:id="100" w:name="organizational-units"/>
      <w:r>
        <w:t>Organizational Units</w:t>
      </w:r>
      <w:bookmarkEnd w:id="100"/>
    </w:p>
    <w:p w:rsidR="003913AE" w:rsidRDefault="002449FA">
      <w:pPr>
        <w:pStyle w:val="Heading3"/>
      </w:pPr>
      <w:bookmarkStart w:id="101" w:name="public-key-infrastructure"/>
      <w:r>
        <w:t>Public Key Infrastructure</w:t>
      </w:r>
      <w:bookmarkEnd w:id="101"/>
    </w:p>
    <w:p w:rsidR="003913AE" w:rsidRDefault="002449FA">
      <w:pPr>
        <w:pStyle w:val="Heading2"/>
      </w:pPr>
      <w:bookmarkStart w:id="102" w:name="applications"/>
      <w:r>
        <w:t>Applications</w:t>
      </w:r>
      <w:bookmarkEnd w:id="102"/>
    </w:p>
    <w:p w:rsidR="003913AE" w:rsidRDefault="002449FA">
      <w:pPr>
        <w:pStyle w:val="Heading3"/>
      </w:pPr>
      <w:bookmarkStart w:id="103" w:name="consoles"/>
      <w:r>
        <w:t>Consoles</w:t>
      </w:r>
      <w:bookmarkEnd w:id="103"/>
    </w:p>
    <w:p w:rsidR="003913AE" w:rsidRDefault="002449FA">
      <w:pPr>
        <w:pStyle w:val="Heading3"/>
      </w:pPr>
      <w:bookmarkStart w:id="104" w:name="command-line"/>
      <w:r>
        <w:t>Command Line</w:t>
      </w:r>
      <w:bookmarkEnd w:id="104"/>
    </w:p>
    <w:p w:rsidR="003913AE" w:rsidRDefault="002449FA">
      <w:pPr>
        <w:pStyle w:val="Heading3"/>
      </w:pPr>
      <w:bookmarkStart w:id="105" w:name="approval-workflow"/>
      <w:r>
        <w:t>Approval workflow</w:t>
      </w:r>
      <w:bookmarkEnd w:id="105"/>
    </w:p>
    <w:p w:rsidR="003913AE" w:rsidRDefault="002449FA">
      <w:pPr>
        <w:pStyle w:val="Heading3"/>
      </w:pPr>
      <w:bookmarkStart w:id="106" w:name="integration-styles"/>
      <w:r>
        <w:t>Integration Styles</w:t>
      </w:r>
      <w:bookmarkEnd w:id="106"/>
    </w:p>
    <w:p w:rsidR="003913AE" w:rsidRDefault="002449FA">
      <w:pPr>
        <w:pStyle w:val="Heading4"/>
      </w:pPr>
      <w:bookmarkStart w:id="107" w:name="direct-bind"/>
      <w:r>
        <w:t>Direct “Bind”</w:t>
      </w:r>
      <w:bookmarkEnd w:id="107"/>
    </w:p>
    <w:p w:rsidR="003913AE" w:rsidRDefault="002449FA">
      <w:pPr>
        <w:pStyle w:val="Heading4"/>
      </w:pPr>
      <w:bookmarkStart w:id="108" w:name="import-users"/>
      <w:r>
        <w:t>Import users</w:t>
      </w:r>
      <w:bookmarkEnd w:id="108"/>
    </w:p>
    <w:p w:rsidR="003913AE" w:rsidRDefault="002449FA">
      <w:pPr>
        <w:pStyle w:val="Heading5"/>
      </w:pPr>
      <w:bookmarkStart w:id="109" w:name="local-access-control"/>
      <w:r>
        <w:t>Local access control</w:t>
      </w:r>
      <w:bookmarkEnd w:id="109"/>
    </w:p>
    <w:p w:rsidR="003913AE" w:rsidRDefault="002449FA">
      <w:pPr>
        <w:pStyle w:val="Heading4"/>
      </w:pPr>
      <w:bookmarkStart w:id="110" w:name="role-based"/>
      <w:r>
        <w:t>Role based</w:t>
      </w:r>
      <w:bookmarkEnd w:id="110"/>
    </w:p>
    <w:p w:rsidR="003913AE" w:rsidRDefault="002449FA">
      <w:pPr>
        <w:pStyle w:val="Heading4"/>
      </w:pPr>
      <w:bookmarkStart w:id="111" w:name="provisioning"/>
      <w:r>
        <w:t>Provisioning</w:t>
      </w:r>
      <w:bookmarkEnd w:id="111"/>
    </w:p>
    <w:p w:rsidR="003913AE" w:rsidRDefault="002449FA">
      <w:pPr>
        <w:pStyle w:val="Heading5"/>
      </w:pPr>
      <w:bookmarkStart w:id="112" w:name="connectors"/>
      <w:r>
        <w:t>Connectors</w:t>
      </w:r>
      <w:bookmarkEnd w:id="112"/>
    </w:p>
    <w:p w:rsidR="003913AE" w:rsidRDefault="002449FA">
      <w:pPr>
        <w:pStyle w:val="Heading5"/>
      </w:pPr>
      <w:bookmarkStart w:id="113" w:name="jit-federation"/>
      <w:r>
        <w:t>JIT Federation</w:t>
      </w:r>
      <w:bookmarkEnd w:id="113"/>
    </w:p>
    <w:p w:rsidR="003913AE" w:rsidRDefault="002449FA">
      <w:pPr>
        <w:pStyle w:val="Heading3"/>
      </w:pPr>
      <w:bookmarkStart w:id="114" w:name="devops-considerations"/>
      <w:r>
        <w:t>DevOps Considerations</w:t>
      </w:r>
      <w:bookmarkEnd w:id="114"/>
    </w:p>
    <w:p w:rsidR="003913AE" w:rsidRDefault="002449FA">
      <w:pPr>
        <w:pStyle w:val="Heading3"/>
      </w:pPr>
      <w:bookmarkStart w:id="115" w:name="session-management-1"/>
      <w:r>
        <w:lastRenderedPageBreak/>
        <w:t>Session Management</w:t>
      </w:r>
      <w:bookmarkEnd w:id="115"/>
    </w:p>
    <w:p w:rsidR="003913AE" w:rsidRDefault="002449FA">
      <w:pPr>
        <w:pStyle w:val="Heading4"/>
      </w:pPr>
      <w:bookmarkStart w:id="116" w:name="centralized"/>
      <w:r>
        <w:t>Centralized</w:t>
      </w:r>
      <w:bookmarkEnd w:id="116"/>
    </w:p>
    <w:p w:rsidR="003913AE" w:rsidRDefault="002449FA">
      <w:pPr>
        <w:pStyle w:val="Heading5"/>
      </w:pPr>
      <w:bookmarkStart w:id="117" w:name="memory-or-db-backed-sso-cookiestokens"/>
      <w:r>
        <w:t>Memory or DB backed SSO Cookies/Tokens)</w:t>
      </w:r>
      <w:bookmarkEnd w:id="117"/>
    </w:p>
    <w:p w:rsidR="003913AE" w:rsidRDefault="002449FA">
      <w:pPr>
        <w:pStyle w:val="Heading4"/>
      </w:pPr>
      <w:bookmarkStart w:id="118" w:name="externalized"/>
      <w:r>
        <w:t>Externalized</w:t>
      </w:r>
      <w:bookmarkEnd w:id="118"/>
    </w:p>
    <w:p w:rsidR="003913AE" w:rsidRDefault="002449FA">
      <w:pPr>
        <w:pStyle w:val="Heading5"/>
      </w:pPr>
      <w:bookmarkStart w:id="119" w:name="jwt-tokens"/>
      <w:r>
        <w:t>JWT Tokens</w:t>
      </w:r>
      <w:bookmarkEnd w:id="119"/>
    </w:p>
    <w:p w:rsidR="003913AE" w:rsidRDefault="002449FA">
      <w:pPr>
        <w:pStyle w:val="Heading4"/>
      </w:pPr>
      <w:bookmarkStart w:id="120" w:name="none"/>
      <w:r>
        <w:t>None</w:t>
      </w:r>
      <w:bookmarkEnd w:id="120"/>
    </w:p>
    <w:p w:rsidR="003913AE" w:rsidRDefault="002449FA">
      <w:pPr>
        <w:pStyle w:val="Heading5"/>
      </w:pPr>
      <w:bookmarkStart w:id="121" w:name="anonymous-only"/>
      <w:r>
        <w:t>Anonymous only</w:t>
      </w:r>
      <w:bookmarkEnd w:id="121"/>
    </w:p>
    <w:p w:rsidR="003913AE" w:rsidRDefault="002449FA">
      <w:pPr>
        <w:pStyle w:val="Heading2"/>
      </w:pPr>
      <w:bookmarkStart w:id="122" w:name="technical"/>
      <w:r>
        <w:t>Technical</w:t>
      </w:r>
      <w:bookmarkEnd w:id="122"/>
    </w:p>
    <w:p w:rsidR="003913AE" w:rsidRDefault="002449FA">
      <w:pPr>
        <w:pStyle w:val="Heading3"/>
      </w:pPr>
      <w:bookmarkStart w:id="123" w:name="repositories"/>
      <w:r>
        <w:t>Repositories</w:t>
      </w:r>
      <w:bookmarkEnd w:id="123"/>
    </w:p>
    <w:p w:rsidR="003913AE" w:rsidRDefault="002449FA">
      <w:pPr>
        <w:pStyle w:val="Heading4"/>
      </w:pPr>
      <w:bookmarkStart w:id="124" w:name="relational-database"/>
      <w:r>
        <w:t>Relational Database</w:t>
      </w:r>
      <w:bookmarkEnd w:id="124"/>
    </w:p>
    <w:p w:rsidR="003913AE" w:rsidRDefault="002449FA">
      <w:pPr>
        <w:pStyle w:val="Heading5"/>
      </w:pPr>
      <w:bookmarkStart w:id="125" w:name="query-optimization"/>
      <w:r>
        <w:t>Query optimization</w:t>
      </w:r>
      <w:bookmarkEnd w:id="125"/>
    </w:p>
    <w:p w:rsidR="003913AE" w:rsidRDefault="002449FA">
      <w:pPr>
        <w:pStyle w:val="Heading5"/>
      </w:pPr>
      <w:bookmarkStart w:id="126" w:name="replication-limitations"/>
      <w:r>
        <w:t>Replication limitations</w:t>
      </w:r>
      <w:bookmarkEnd w:id="126"/>
    </w:p>
    <w:p w:rsidR="003913AE" w:rsidRDefault="002449FA">
      <w:pPr>
        <w:pStyle w:val="Heading4"/>
      </w:pPr>
      <w:bookmarkStart w:id="127" w:name="directories"/>
      <w:r>
        <w:t>Directories</w:t>
      </w:r>
      <w:bookmarkEnd w:id="127"/>
    </w:p>
    <w:p w:rsidR="003913AE" w:rsidRDefault="002449FA">
      <w:pPr>
        <w:pStyle w:val="Heading5"/>
      </w:pPr>
      <w:bookmarkStart w:id="128" w:name="historical-note---x.500"/>
      <w:r>
        <w:t>Historical note - X.500</w:t>
      </w:r>
      <w:bookmarkEnd w:id="128"/>
    </w:p>
    <w:p w:rsidR="003913AE" w:rsidRDefault="002449FA">
      <w:pPr>
        <w:pStyle w:val="Heading5"/>
      </w:pPr>
      <w:bookmarkStart w:id="129" w:name="slapd-and-its-descendents"/>
      <w:r>
        <w:t>SLAPD and its descendents</w:t>
      </w:r>
      <w:bookmarkEnd w:id="129"/>
    </w:p>
    <w:p w:rsidR="003913AE" w:rsidRDefault="002449FA">
      <w:pPr>
        <w:pStyle w:val="Heading5"/>
      </w:pPr>
      <w:bookmarkStart w:id="130" w:name="partitioning"/>
      <w:r>
        <w:t>Partitioning</w:t>
      </w:r>
      <w:bookmarkEnd w:id="130"/>
    </w:p>
    <w:p w:rsidR="003913AE" w:rsidRDefault="002449FA">
      <w:pPr>
        <w:pStyle w:val="Heading5"/>
      </w:pPr>
      <w:bookmarkStart w:id="131" w:name="replication-techniques"/>
      <w:r>
        <w:t>Replication Techniques</w:t>
      </w:r>
      <w:bookmarkEnd w:id="131"/>
    </w:p>
    <w:p w:rsidR="003913AE" w:rsidRDefault="002449FA">
      <w:pPr>
        <w:pStyle w:val="Heading5"/>
      </w:pPr>
      <w:bookmarkStart w:id="132" w:name="recovery"/>
      <w:r>
        <w:t>Recovery</w:t>
      </w:r>
      <w:bookmarkEnd w:id="132"/>
    </w:p>
    <w:p w:rsidR="003913AE" w:rsidRDefault="002449FA">
      <w:pPr>
        <w:pStyle w:val="Heading6"/>
      </w:pPr>
      <w:bookmarkStart w:id="133" w:name="local-failures"/>
      <w:r>
        <w:t>Local failures</w:t>
      </w:r>
      <w:bookmarkEnd w:id="133"/>
    </w:p>
    <w:p w:rsidR="003913AE" w:rsidRDefault="002449FA">
      <w:pPr>
        <w:pStyle w:val="Heading6"/>
      </w:pPr>
      <w:bookmarkStart w:id="134" w:name="disaster-recovery"/>
      <w:r>
        <w:t>Disaster Recovery</w:t>
      </w:r>
      <w:bookmarkEnd w:id="134"/>
    </w:p>
    <w:p w:rsidR="003913AE" w:rsidRDefault="002449FA">
      <w:pPr>
        <w:pStyle w:val="Heading6"/>
      </w:pPr>
      <w:bookmarkStart w:id="135" w:name="failover"/>
      <w:r>
        <w:t>Failover</w:t>
      </w:r>
      <w:bookmarkEnd w:id="135"/>
    </w:p>
    <w:p w:rsidR="003913AE" w:rsidRDefault="002449FA">
      <w:pPr>
        <w:pStyle w:val="Heading5"/>
      </w:pPr>
      <w:bookmarkStart w:id="136" w:name="audit-and-forensics"/>
      <w:r>
        <w:t>Audit and Forensics</w:t>
      </w:r>
      <w:bookmarkEnd w:id="136"/>
    </w:p>
    <w:p w:rsidR="003913AE" w:rsidRDefault="002449FA">
      <w:pPr>
        <w:pStyle w:val="Heading5"/>
      </w:pPr>
      <w:bookmarkStart w:id="137" w:name="inheritance-and-structure"/>
      <w:r>
        <w:t>Inheritance and structure</w:t>
      </w:r>
      <w:bookmarkEnd w:id="137"/>
    </w:p>
    <w:p w:rsidR="003913AE" w:rsidRDefault="002449FA">
      <w:pPr>
        <w:pStyle w:val="Heading5"/>
      </w:pPr>
      <w:bookmarkStart w:id="138" w:name="ldapv3"/>
      <w:r>
        <w:t>LDAPv3</w:t>
      </w:r>
      <w:bookmarkEnd w:id="138"/>
    </w:p>
    <w:p w:rsidR="003913AE" w:rsidRDefault="002449FA">
      <w:pPr>
        <w:pStyle w:val="Heading6"/>
      </w:pPr>
      <w:bookmarkStart w:id="139" w:name="access-control-1"/>
      <w:r>
        <w:t>Access Control</w:t>
      </w:r>
      <w:bookmarkEnd w:id="139"/>
    </w:p>
    <w:p w:rsidR="003913AE" w:rsidRDefault="002449FA">
      <w:pPr>
        <w:pStyle w:val="Heading6"/>
      </w:pPr>
      <w:bookmarkStart w:id="140" w:name="configuration-for-performance"/>
      <w:r>
        <w:t>Configuration for performance</w:t>
      </w:r>
      <w:bookmarkEnd w:id="140"/>
    </w:p>
    <w:p w:rsidR="003913AE" w:rsidRDefault="002449FA">
      <w:pPr>
        <w:pStyle w:val="Heading5"/>
      </w:pPr>
      <w:bookmarkStart w:id="141" w:name="active-directory"/>
      <w:r>
        <w:lastRenderedPageBreak/>
        <w:t>Active Directory</w:t>
      </w:r>
      <w:bookmarkEnd w:id="141"/>
    </w:p>
    <w:p w:rsidR="003913AE" w:rsidRDefault="002449FA">
      <w:pPr>
        <w:pStyle w:val="Heading6"/>
      </w:pPr>
      <w:bookmarkStart w:id="142" w:name="multi-trust-relationships"/>
      <w:r>
        <w:t>Multi-Trust Relationships</w:t>
      </w:r>
      <w:bookmarkEnd w:id="142"/>
    </w:p>
    <w:p w:rsidR="003913AE" w:rsidRDefault="002449FA">
      <w:pPr>
        <w:pStyle w:val="Heading6"/>
      </w:pPr>
      <w:bookmarkStart w:id="143" w:name="domain-controllers"/>
      <w:r>
        <w:t>Domain Controllers</w:t>
      </w:r>
      <w:bookmarkEnd w:id="143"/>
    </w:p>
    <w:p w:rsidR="003913AE" w:rsidRDefault="002449FA">
      <w:pPr>
        <w:pStyle w:val="Heading6"/>
      </w:pPr>
      <w:bookmarkStart w:id="144" w:name="change-tracking-timestamp"/>
      <w:r>
        <w:t>Change tracking (Timestamp)</w:t>
      </w:r>
      <w:bookmarkEnd w:id="144"/>
    </w:p>
    <w:p w:rsidR="003913AE" w:rsidRDefault="002449FA">
      <w:pPr>
        <w:pStyle w:val="Heading4"/>
      </w:pPr>
      <w:bookmarkStart w:id="145" w:name="nosql-databases"/>
      <w:r>
        <w:t>NOSQL Databases</w:t>
      </w:r>
      <w:bookmarkEnd w:id="145"/>
    </w:p>
    <w:p w:rsidR="003913AE" w:rsidRDefault="002449FA">
      <w:pPr>
        <w:pStyle w:val="Heading4"/>
      </w:pPr>
      <w:bookmarkStart w:id="146" w:name="distributed-ledger-blockchain"/>
      <w:r>
        <w:t>Distributed Ledger (Blockchain)</w:t>
      </w:r>
      <w:bookmarkEnd w:id="146"/>
    </w:p>
    <w:p w:rsidR="003913AE" w:rsidRDefault="002449FA">
      <w:pPr>
        <w:pStyle w:val="Heading3"/>
      </w:pPr>
      <w:bookmarkStart w:id="147" w:name="identity-provider-services"/>
      <w:r>
        <w:t>Identity Provider Services</w:t>
      </w:r>
      <w:bookmarkEnd w:id="147"/>
    </w:p>
    <w:p w:rsidR="003913AE" w:rsidRDefault="002449FA">
      <w:pPr>
        <w:pStyle w:val="Heading3"/>
      </w:pPr>
      <w:bookmarkStart w:id="148" w:name="protocols"/>
      <w:r>
        <w:t>Protocols</w:t>
      </w:r>
      <w:bookmarkEnd w:id="148"/>
    </w:p>
    <w:p w:rsidR="003913AE" w:rsidRDefault="002449FA">
      <w:pPr>
        <w:pStyle w:val="Heading4"/>
      </w:pPr>
      <w:bookmarkStart w:id="149" w:name="kerberos"/>
      <w:r>
        <w:t>Kerberos</w:t>
      </w:r>
      <w:bookmarkEnd w:id="149"/>
    </w:p>
    <w:p w:rsidR="003913AE" w:rsidRDefault="002449FA">
      <w:pPr>
        <w:pStyle w:val="Heading4"/>
      </w:pPr>
      <w:bookmarkStart w:id="150" w:name="lightweight-directory-access-protocol-ld"/>
      <w:r>
        <w:t>Lightweight Directory Access Protocol (LDAP)</w:t>
      </w:r>
      <w:bookmarkEnd w:id="150"/>
    </w:p>
    <w:p w:rsidR="003913AE" w:rsidRDefault="002449FA">
      <w:pPr>
        <w:pStyle w:val="Heading4"/>
      </w:pPr>
      <w:bookmarkStart w:id="151" w:name="scim"/>
      <w:r>
        <w:t>SCIM</w:t>
      </w:r>
      <w:bookmarkEnd w:id="151"/>
    </w:p>
    <w:p w:rsidR="003913AE" w:rsidRDefault="002449FA">
      <w:pPr>
        <w:pStyle w:val="Heading4"/>
      </w:pPr>
      <w:bookmarkStart w:id="152" w:name="saml"/>
      <w:r>
        <w:t>SAML</w:t>
      </w:r>
      <w:bookmarkEnd w:id="152"/>
    </w:p>
    <w:p w:rsidR="003913AE" w:rsidRDefault="002449FA">
      <w:pPr>
        <w:pStyle w:val="Heading5"/>
      </w:pPr>
      <w:bookmarkStart w:id="153" w:name="sp-initiated-vs-idp-initiated"/>
      <w:r>
        <w:t>SP Initiated vs IDP Initiated</w:t>
      </w:r>
      <w:bookmarkEnd w:id="153"/>
    </w:p>
    <w:p w:rsidR="003913AE" w:rsidRDefault="002449FA">
      <w:pPr>
        <w:pStyle w:val="Heading5"/>
      </w:pPr>
      <w:bookmarkStart w:id="154" w:name="bindings"/>
      <w:r>
        <w:t>Bindings</w:t>
      </w:r>
      <w:bookmarkEnd w:id="154"/>
    </w:p>
    <w:p w:rsidR="003913AE" w:rsidRDefault="002449FA">
      <w:pPr>
        <w:pStyle w:val="Heading4"/>
      </w:pPr>
      <w:bookmarkStart w:id="155" w:name="oidc"/>
      <w:r>
        <w:t>OIDC</w:t>
      </w:r>
      <w:bookmarkEnd w:id="155"/>
    </w:p>
    <w:p w:rsidR="003913AE" w:rsidRDefault="002449FA">
      <w:pPr>
        <w:pStyle w:val="Heading5"/>
      </w:pPr>
      <w:bookmarkStart w:id="156" w:name="authentications-flows"/>
      <w:r>
        <w:t>Authentications Flows</w:t>
      </w:r>
      <w:bookmarkEnd w:id="156"/>
    </w:p>
    <w:p w:rsidR="003913AE" w:rsidRDefault="002449FA">
      <w:pPr>
        <w:pStyle w:val="Heading4"/>
      </w:pPr>
      <w:bookmarkStart w:id="157" w:name="oauth"/>
      <w:r>
        <w:t>OAuth</w:t>
      </w:r>
      <w:bookmarkEnd w:id="157"/>
    </w:p>
    <w:p w:rsidR="003913AE" w:rsidRDefault="002449FA">
      <w:pPr>
        <w:pStyle w:val="Heading4"/>
      </w:pPr>
      <w:bookmarkStart w:id="158" w:name="ws-fed"/>
      <w:r>
        <w:t>WS-Fed</w:t>
      </w:r>
      <w:bookmarkEnd w:id="158"/>
    </w:p>
    <w:p w:rsidR="003913AE" w:rsidRDefault="002449FA">
      <w:pPr>
        <w:pStyle w:val="Heading4"/>
      </w:pPr>
      <w:bookmarkStart w:id="159" w:name="fido-u2f-and-uaf"/>
      <w:r>
        <w:t>FIDO U2F and UAF</w:t>
      </w:r>
      <w:bookmarkEnd w:id="159"/>
    </w:p>
    <w:p w:rsidR="003913AE" w:rsidRDefault="002449FA">
      <w:pPr>
        <w:pStyle w:val="Heading3"/>
      </w:pPr>
      <w:bookmarkStart w:id="160" w:name="enterpise-control-of-cloud"/>
      <w:r>
        <w:t>Enterpise control of “Cloud”</w:t>
      </w:r>
      <w:bookmarkEnd w:id="160"/>
    </w:p>
    <w:p w:rsidR="003913AE" w:rsidRDefault="002449FA">
      <w:pPr>
        <w:pStyle w:val="Heading4"/>
      </w:pPr>
      <w:bookmarkStart w:id="161" w:name="public-cloud-vs-private-cloud"/>
      <w:r>
        <w:t>Public Cloud vs Private Cloud</w:t>
      </w:r>
      <w:bookmarkEnd w:id="161"/>
    </w:p>
    <w:p w:rsidR="003913AE" w:rsidRDefault="002449FA">
      <w:pPr>
        <w:pStyle w:val="Heading4"/>
      </w:pPr>
      <w:bookmarkStart w:id="162" w:name="local-connectors-and-gateways"/>
      <w:r>
        <w:t>Local Connectors and Gateways</w:t>
      </w:r>
      <w:bookmarkEnd w:id="162"/>
    </w:p>
    <w:p w:rsidR="003913AE" w:rsidRDefault="002449FA">
      <w:pPr>
        <w:pStyle w:val="Heading4"/>
      </w:pPr>
      <w:bookmarkStart w:id="163" w:name="ipsec-vpn"/>
      <w:r>
        <w:t>IPSec VPN</w:t>
      </w:r>
      <w:bookmarkEnd w:id="163"/>
    </w:p>
    <w:p w:rsidR="003913AE" w:rsidRDefault="002449FA">
      <w:pPr>
        <w:pStyle w:val="Heading2"/>
      </w:pPr>
      <w:bookmarkStart w:id="164" w:name="recommended-practices"/>
      <w:r>
        <w:t>Recommended Practices</w:t>
      </w:r>
      <w:bookmarkEnd w:id="164"/>
    </w:p>
    <w:p w:rsidR="003913AE" w:rsidRDefault="002449FA">
      <w:pPr>
        <w:pStyle w:val="Heading3"/>
      </w:pPr>
      <w:bookmarkStart w:id="165" w:name="design-for-security"/>
      <w:r>
        <w:t>Design for security</w:t>
      </w:r>
      <w:bookmarkEnd w:id="165"/>
    </w:p>
    <w:p w:rsidR="003913AE" w:rsidRDefault="002449FA">
      <w:pPr>
        <w:pStyle w:val="Heading2"/>
      </w:pPr>
      <w:bookmarkStart w:id="166" w:name="governance-and-administration"/>
      <w:r>
        <w:lastRenderedPageBreak/>
        <w:t>Governance and Admi</w:t>
      </w:r>
      <w:r>
        <w:t>nistration</w:t>
      </w:r>
      <w:bookmarkEnd w:id="166"/>
    </w:p>
    <w:p w:rsidR="003913AE" w:rsidRDefault="002449FA">
      <w:pPr>
        <w:pStyle w:val="Heading3"/>
      </w:pPr>
      <w:bookmarkStart w:id="167" w:name="audit"/>
      <w:r>
        <w:t>Audit</w:t>
      </w:r>
      <w:bookmarkEnd w:id="167"/>
    </w:p>
    <w:p w:rsidR="003913AE" w:rsidRDefault="002449FA">
      <w:pPr>
        <w:pStyle w:val="Heading3"/>
      </w:pPr>
      <w:bookmarkStart w:id="168" w:name="monitoring"/>
      <w:r>
        <w:t>Monitoring</w:t>
      </w:r>
      <w:bookmarkEnd w:id="168"/>
    </w:p>
    <w:p w:rsidR="003913AE" w:rsidRDefault="002449FA">
      <w:pPr>
        <w:pStyle w:val="Heading1"/>
      </w:pPr>
      <w:bookmarkStart w:id="169" w:name="operational-considerations"/>
      <w:r>
        <w:t>Operational Considerations</w:t>
      </w:r>
      <w:bookmarkEnd w:id="169"/>
    </w:p>
    <w:p w:rsidR="003913AE" w:rsidRDefault="002449FA">
      <w:pPr>
        <w:pStyle w:val="Heading2"/>
      </w:pPr>
      <w:bookmarkStart w:id="170" w:name="account-recovery"/>
      <w:r>
        <w:t>Account recovery</w:t>
      </w:r>
      <w:bookmarkEnd w:id="170"/>
    </w:p>
    <w:p w:rsidR="003913AE" w:rsidRDefault="002449FA">
      <w:pPr>
        <w:pStyle w:val="Heading2"/>
      </w:pPr>
      <w:bookmarkStart w:id="171" w:name="call-centers"/>
      <w:r>
        <w:t>Call centers</w:t>
      </w:r>
      <w:bookmarkEnd w:id="171"/>
    </w:p>
    <w:p w:rsidR="003913AE" w:rsidRDefault="002449FA">
      <w:pPr>
        <w:pStyle w:val="Heading2"/>
      </w:pPr>
      <w:bookmarkStart w:id="172" w:name="engagement-of-user-for-their-own-securit"/>
      <w:r>
        <w:t>Engagement of user for their own security</w:t>
      </w:r>
      <w:bookmarkEnd w:id="172"/>
    </w:p>
    <w:p w:rsidR="003913AE" w:rsidRDefault="002449FA">
      <w:pPr>
        <w:pStyle w:val="Heading2"/>
      </w:pPr>
      <w:bookmarkStart w:id="173" w:name="security-events-and-operations"/>
      <w:r>
        <w:t>Security events and operations</w:t>
      </w:r>
      <w:bookmarkEnd w:id="173"/>
    </w:p>
    <w:p w:rsidR="003913AE" w:rsidRDefault="002449FA">
      <w:pPr>
        <w:pStyle w:val="Heading1"/>
      </w:pPr>
      <w:bookmarkStart w:id="174" w:name="project-management"/>
      <w:r>
        <w:t>Project Management</w:t>
      </w:r>
      <w:bookmarkEnd w:id="174"/>
    </w:p>
    <w:p w:rsidR="003913AE" w:rsidRDefault="002449FA">
      <w:pPr>
        <w:pStyle w:val="Heading2"/>
      </w:pPr>
      <w:bookmarkStart w:id="175" w:name="new-implementations"/>
      <w:r>
        <w:t>New implementations</w:t>
      </w:r>
      <w:bookmarkEnd w:id="175"/>
    </w:p>
    <w:p w:rsidR="003913AE" w:rsidRDefault="002449FA">
      <w:pPr>
        <w:pStyle w:val="Heading2"/>
      </w:pPr>
      <w:bookmarkStart w:id="176" w:name="migration-scenarios"/>
      <w:r>
        <w:t>Migration scenario’s</w:t>
      </w:r>
      <w:bookmarkEnd w:id="176"/>
    </w:p>
    <w:p w:rsidR="003913AE" w:rsidRDefault="002449FA">
      <w:pPr>
        <w:pStyle w:val="Heading1"/>
      </w:pPr>
      <w:bookmarkStart w:id="177" w:name="iam-knowledge-sharing"/>
      <w:r>
        <w:t xml:space="preserve">IAM Knowledge </w:t>
      </w:r>
      <w:r w:rsidR="00E55BC9">
        <w:t>Sharing</w:t>
      </w:r>
      <w:bookmarkEnd w:id="177"/>
    </w:p>
    <w:p w:rsidR="003913AE" w:rsidRDefault="002449FA">
      <w:pPr>
        <w:pStyle w:val="Heading2"/>
      </w:pPr>
      <w:bookmarkStart w:id="178" w:name="idpro"/>
      <w:r>
        <w:t>IDpro</w:t>
      </w:r>
      <w:bookmarkEnd w:id="178"/>
    </w:p>
    <w:p w:rsidR="003913AE" w:rsidRDefault="002449FA">
      <w:pPr>
        <w:pStyle w:val="Heading2"/>
      </w:pPr>
      <w:bookmarkStart w:id="179" w:name="gartner"/>
      <w:r>
        <w:t>Gartner</w:t>
      </w:r>
      <w:bookmarkEnd w:id="179"/>
    </w:p>
    <w:p w:rsidR="003913AE" w:rsidRDefault="002449FA">
      <w:pPr>
        <w:pStyle w:val="Heading2"/>
      </w:pPr>
      <w:bookmarkStart w:id="180" w:name="kuppingercole"/>
      <w:r>
        <w:t>KuppingerCole</w:t>
      </w:r>
      <w:bookmarkEnd w:id="180"/>
    </w:p>
    <w:p w:rsidR="003913AE" w:rsidRDefault="002449FA">
      <w:pPr>
        <w:pStyle w:val="Heading2"/>
      </w:pPr>
      <w:bookmarkStart w:id="181" w:name="iiw"/>
      <w:r>
        <w:t>IIW</w:t>
      </w:r>
      <w:bookmarkEnd w:id="181"/>
    </w:p>
    <w:p w:rsidR="003913AE" w:rsidRDefault="002449FA">
      <w:pPr>
        <w:pStyle w:val="Heading2"/>
      </w:pPr>
      <w:bookmarkStart w:id="182" w:name="bibliography"/>
      <w:r>
        <w:t>Bibliography</w:t>
      </w:r>
      <w:bookmarkEnd w:id="182"/>
    </w:p>
    <w:sectPr w:rsidR="003913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9FA" w:rsidRDefault="002449FA">
      <w:pPr>
        <w:spacing w:after="0"/>
      </w:pPr>
      <w:r>
        <w:separator/>
      </w:r>
    </w:p>
  </w:endnote>
  <w:endnote w:type="continuationSeparator" w:id="0">
    <w:p w:rsidR="002449FA" w:rsidRDefault="00244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9FA" w:rsidRDefault="002449FA">
      <w:r>
        <w:separator/>
      </w:r>
    </w:p>
  </w:footnote>
  <w:footnote w:type="continuationSeparator" w:id="0">
    <w:p w:rsidR="002449FA" w:rsidRDefault="00244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49FA"/>
    <w:rsid w:val="003913AE"/>
    <w:rsid w:val="004E29B3"/>
    <w:rsid w:val="00590D07"/>
    <w:rsid w:val="00784D58"/>
    <w:rsid w:val="008D6863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6A860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GBD</cp:lastModifiedBy>
  <cp:revision>2</cp:revision>
  <dcterms:created xsi:type="dcterms:W3CDTF">2018-12-16T19:30:00Z</dcterms:created>
  <dcterms:modified xsi:type="dcterms:W3CDTF">2018-12-16T19:46:00Z</dcterms:modified>
</cp:coreProperties>
</file>