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lastRenderedPageBreak/>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1D983B0B" w14:textId="77777777" w:rsidR="006A1CC7" w:rsidRDefault="006A1CC7" w:rsidP="006A1CC7">
      <w:pPr>
        <w:pStyle w:val="Heading2"/>
      </w:pPr>
      <w:r>
        <w:t>Approach to Compliance for the Identity Practitioner</w:t>
      </w:r>
    </w:p>
    <w:p w14:paraId="365C98A2" w14:textId="77777777" w:rsidR="006A1CC7" w:rsidRDefault="006A1CC7" w:rsidP="006A1CC7">
      <w:r>
        <w:t>Abstract:</w:t>
      </w:r>
    </w:p>
    <w:p w14:paraId="195847AF" w14:textId="77777777" w:rsidR="006A1CC7" w:rsidRDefault="006A1CC7" w:rsidP="006A1CC7">
      <w:r>
        <w:t xml:space="preserve">The overview, above, provides a broad perspective on what the practitioner might encounter.  This article provides </w:t>
      </w:r>
      <w:r w:rsidRPr="00D462F6">
        <w:t>a companion piece that is less theoretical and more practical and</w:t>
      </w:r>
      <w:r>
        <w:t xml:space="preserve">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w:t>
      </w:r>
    </w:p>
    <w:p w14:paraId="4E4BF7AA" w14:textId="77777777" w:rsidR="006A1CC7" w:rsidRDefault="006A1CC7" w:rsidP="006A1CC7">
      <w:r>
        <w:t xml:space="preserve">This takes the form of three illustrative use-cases where the identity system supports various combinations of jurisdictions, participants and federation: </w:t>
      </w:r>
    </w:p>
    <w:p w14:paraId="53692107" w14:textId="77777777" w:rsidR="006A1CC7" w:rsidRDefault="006A1CC7" w:rsidP="006A1CC7">
      <w:pPr>
        <w:pStyle w:val="ListParagraph"/>
        <w:numPr>
          <w:ilvl w:val="0"/>
          <w:numId w:val="4"/>
        </w:numPr>
      </w:pPr>
      <w:r>
        <w:t xml:space="preserve">Single jurisdiction, supporting customer access, including out-bound federation for certain aspects of the customer journey; </w:t>
      </w:r>
    </w:p>
    <w:p w14:paraId="0324F572" w14:textId="77777777" w:rsidR="006A1CC7" w:rsidRDefault="006A1CC7" w:rsidP="006A1CC7">
      <w:pPr>
        <w:pStyle w:val="ListParagraph"/>
        <w:numPr>
          <w:ilvl w:val="0"/>
          <w:numId w:val="4"/>
        </w:numPr>
      </w:pPr>
      <w:r>
        <w:t>A system that relies entirely on external “identity providers”, with operations in several jurisdictions;</w:t>
      </w:r>
    </w:p>
    <w:p w14:paraId="3BE8B91B" w14:textId="77777777" w:rsidR="006A1CC7" w:rsidRDefault="006A1CC7" w:rsidP="006A1CC7">
      <w:pPr>
        <w:pStyle w:val="ListParagraph"/>
        <w:numPr>
          <w:ilvl w:val="0"/>
          <w:numId w:val="4"/>
        </w:numPr>
      </w:pPr>
      <w:r>
        <w:t>A multi-jurisdiction employee/contractor-focused system, which wishes to use biometric techniques for authentication.</w:t>
      </w:r>
    </w:p>
    <w:p w14:paraId="6A121E78" w14:textId="77777777" w:rsidR="006A1CC7" w:rsidRDefault="006A1CC7" w:rsidP="006A1CC7">
      <w:r>
        <w:t xml:space="preserve">The general approach is to use the jurisdictions, participants, federations and technologies under consideration in order to locate aspects of the law that must be considered. </w:t>
      </w:r>
    </w:p>
    <w:p w14:paraId="076EB986" w14:textId="7908DFEC" w:rsidR="003913AE" w:rsidRDefault="009F177C" w:rsidP="00E55BC9">
      <w:pPr>
        <w:pStyle w:val="Heading2"/>
      </w:pPr>
      <w:bookmarkStart w:id="40" w:name="_GoBack"/>
      <w:bookmarkEnd w:id="40"/>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5AEFB8BA" w:rsidR="007D05EE" w:rsidRPr="007D05EE" w:rsidRDefault="00D449CF" w:rsidP="007D05EE">
      <w:pPr>
        <w:rPr>
          <w:rFonts w:ascii="Calibri" w:eastAsia="Times New Roman" w:hAnsi="Calibri" w:cs="Calibri"/>
          <w:color w:val="000000"/>
        </w:rPr>
      </w:pPr>
      <w:r w:rsidRPr="00D449CF">
        <w:rPr>
          <w:rFonts w:ascii="Calibri" w:eastAsia="Times New Roman" w:hAnsi="Calibri" w:cs="Calibri"/>
          <w:color w:val="000000"/>
        </w:rPr>
        <w:t xml:space="preserve">Abstract: This article examines the implications of the General Data Protection Regulation ("GDPR") on IAM process and system design and introduces </w:t>
      </w:r>
      <w:proofErr w:type="spellStart"/>
      <w:r w:rsidRPr="00D449CF">
        <w:rPr>
          <w:rFonts w:ascii="Calibri" w:eastAsia="Times New Roman" w:hAnsi="Calibri" w:cs="Calibri"/>
          <w:color w:val="000000"/>
        </w:rPr>
        <w:t>organisational</w:t>
      </w:r>
      <w:proofErr w:type="spellEnd"/>
      <w:r w:rsidRPr="00D449CF">
        <w:rPr>
          <w:rFonts w:ascii="Calibri" w:eastAsia="Times New Roman" w:hAnsi="Calibri" w:cs="Calibri"/>
          <w:color w:val="000000"/>
        </w:rPr>
        <w:t xml:space="preserve"> and technical good practices which will help in ensuring demonstrable compliance with the regulation in ways </w:t>
      </w:r>
      <w:r w:rsidRPr="00D449CF">
        <w:rPr>
          <w:rFonts w:ascii="Calibri" w:eastAsia="Times New Roman" w:hAnsi="Calibri" w:cs="Calibri"/>
          <w:color w:val="000000"/>
        </w:rPr>
        <w:lastRenderedPageBreak/>
        <w:t>which improve user experience and customer trust. These approaches will by extension also help in complying with data protection legislation in other geographies including (for example) the California Consumer Privacy Act ("CCPA").</w:t>
      </w:r>
      <w:r w:rsidR="007D05EE" w:rsidRPr="007D05EE">
        <w:rPr>
          <w:rFonts w:ascii="Calibri" w:eastAsia="Times New Roman" w:hAnsi="Calibri" w:cs="Calibri"/>
          <w:color w:val="000000"/>
        </w:rPr>
        <w:t xml:space="preserve">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AEFE" w14:textId="77777777" w:rsidR="00401AA7" w:rsidRDefault="00401AA7">
      <w:pPr>
        <w:spacing w:after="0"/>
      </w:pPr>
      <w:r>
        <w:separator/>
      </w:r>
    </w:p>
  </w:endnote>
  <w:endnote w:type="continuationSeparator" w:id="0">
    <w:p w14:paraId="1523E0DC" w14:textId="77777777" w:rsidR="00401AA7" w:rsidRDefault="0040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884F2" w14:textId="77777777" w:rsidR="00401AA7" w:rsidRDefault="00401AA7">
      <w:r>
        <w:separator/>
      </w:r>
    </w:p>
  </w:footnote>
  <w:footnote w:type="continuationSeparator" w:id="0">
    <w:p w14:paraId="56453352" w14:textId="77777777" w:rsidR="00401AA7" w:rsidRDefault="0040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EE57643"/>
    <w:multiLevelType w:val="hybridMultilevel"/>
    <w:tmpl w:val="59625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01A11"/>
    <w:rsid w:val="002449FA"/>
    <w:rsid w:val="002E038B"/>
    <w:rsid w:val="00363337"/>
    <w:rsid w:val="00390AAE"/>
    <w:rsid w:val="003913AE"/>
    <w:rsid w:val="003A4653"/>
    <w:rsid w:val="003E4DDB"/>
    <w:rsid w:val="00401AA7"/>
    <w:rsid w:val="004E29B3"/>
    <w:rsid w:val="004E4538"/>
    <w:rsid w:val="00586D84"/>
    <w:rsid w:val="00590D07"/>
    <w:rsid w:val="005F59F9"/>
    <w:rsid w:val="006130C6"/>
    <w:rsid w:val="00636D5E"/>
    <w:rsid w:val="006474A1"/>
    <w:rsid w:val="006524AF"/>
    <w:rsid w:val="00657805"/>
    <w:rsid w:val="00666F7F"/>
    <w:rsid w:val="006A1CC7"/>
    <w:rsid w:val="006C21B9"/>
    <w:rsid w:val="006C2F64"/>
    <w:rsid w:val="007115BC"/>
    <w:rsid w:val="00734718"/>
    <w:rsid w:val="00771594"/>
    <w:rsid w:val="00784D58"/>
    <w:rsid w:val="007A627F"/>
    <w:rsid w:val="007D05EE"/>
    <w:rsid w:val="0085279F"/>
    <w:rsid w:val="008D6863"/>
    <w:rsid w:val="009C16C6"/>
    <w:rsid w:val="009F177C"/>
    <w:rsid w:val="00A27C7A"/>
    <w:rsid w:val="00A57D0B"/>
    <w:rsid w:val="00B46969"/>
    <w:rsid w:val="00B86B75"/>
    <w:rsid w:val="00BC48D5"/>
    <w:rsid w:val="00BF2ADC"/>
    <w:rsid w:val="00C36279"/>
    <w:rsid w:val="00D449CF"/>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paragraph" w:styleId="ListParagraph">
    <w:name w:val="List Paragraph"/>
    <w:basedOn w:val="Normal"/>
    <w:uiPriority w:val="34"/>
    <w:qFormat/>
    <w:rsid w:val="006A1CC7"/>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23096812">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28</cp:revision>
  <dcterms:created xsi:type="dcterms:W3CDTF">2018-12-16T19:30:00Z</dcterms:created>
  <dcterms:modified xsi:type="dcterms:W3CDTF">2019-11-29T21:42:00Z</dcterms:modified>
</cp:coreProperties>
</file>