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683A" w14:textId="2D12F8DB" w:rsidR="003913AE" w:rsidRDefault="002449FA">
      <w:pPr>
        <w:pStyle w:val="Heading1"/>
      </w:pPr>
      <w:bookmarkStart w:id="0" w:name="introduction"/>
      <w:r>
        <w:t>Introduction</w:t>
      </w:r>
      <w:bookmarkEnd w:id="0"/>
    </w:p>
    <w:p w14:paraId="4BE1C186" w14:textId="0BBDE064" w:rsidR="001471CB" w:rsidRDefault="001471CB" w:rsidP="001471CB">
      <w:pPr>
        <w:pStyle w:val="Heading2"/>
      </w:pPr>
      <w:r>
        <w:t xml:space="preserve">Introduction to Identity – Part 1: Admin-time </w:t>
      </w:r>
      <w:r w:rsidRPr="0023249E">
        <w:rPr>
          <w:i/>
          <w:iCs/>
        </w:rPr>
        <w:t xml:space="preserve">– </w:t>
      </w:r>
      <w:r w:rsidR="00146B20">
        <w:rPr>
          <w:i/>
          <w:iCs/>
        </w:rPr>
        <w:t>published</w:t>
      </w:r>
    </w:p>
    <w:p w14:paraId="4B30523E" w14:textId="4E623816" w:rsidR="001471CB" w:rsidRDefault="001471CB" w:rsidP="001471CB">
      <w:pPr>
        <w:rPr>
          <w:rFonts w:ascii="Arial" w:eastAsia="Times New Roman" w:hAnsi="Arial" w:cs="Arial"/>
          <w:color w:val="000000"/>
          <w:sz w:val="22"/>
          <w:szCs w:val="22"/>
        </w:rPr>
      </w:pPr>
      <w:r w:rsidRPr="001471CB">
        <w:rPr>
          <w:rFonts w:ascii="Arial" w:eastAsia="Times New Roman" w:hAnsi="Arial" w:cs="Arial"/>
          <w:color w:val="000000"/>
          <w:sz w:val="22"/>
          <w:szCs w:val="22"/>
        </w:rPr>
        <w:t>Abstract: 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290E8553" w14:textId="1AB69A4D" w:rsidR="001471CB" w:rsidRDefault="001471CB" w:rsidP="001471CB">
      <w:pPr>
        <w:rPr>
          <w:rFonts w:ascii="Arial" w:eastAsia="Times New Roman" w:hAnsi="Arial" w:cs="Arial"/>
          <w:color w:val="000000"/>
          <w:sz w:val="22"/>
          <w:szCs w:val="22"/>
        </w:rPr>
      </w:pPr>
      <w:r>
        <w:rPr>
          <w:rFonts w:ascii="Arial" w:eastAsia="Times New Roman" w:hAnsi="Arial" w:cs="Arial"/>
          <w:color w:val="000000"/>
          <w:sz w:val="22"/>
          <w:szCs w:val="22"/>
        </w:rPr>
        <w:t>Sections in this article include:</w:t>
      </w:r>
    </w:p>
    <w:p w14:paraId="2551BE3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Introduction: How to Approach Identity and IAM.</w:t>
      </w:r>
    </w:p>
    <w:p w14:paraId="4BFBEC9F" w14:textId="04612552"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Constituencies - who is it that we serve?</w:t>
      </w:r>
    </w:p>
    <w:p w14:paraId="1AB16E06" w14:textId="48C5EF21"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Business-to-Employee (B2E): Making Employees Productive.</w:t>
      </w:r>
    </w:p>
    <w:p w14:paraId="23D6A2F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Business-to-Business (B2B): Connecting to Partners. </w:t>
      </w:r>
    </w:p>
    <w:p w14:paraId="7C37905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Business-to-Consumer (B2C): Digitally Engage.</w:t>
      </w:r>
    </w:p>
    <w:p w14:paraId="7AA91791"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Technologies Involved - Admin-time vs. Run-time.</w:t>
      </w:r>
    </w:p>
    <w:p w14:paraId="43FA1E4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Admin-time Technologies. </w:t>
      </w:r>
    </w:p>
    <w:p w14:paraId="6D681C00"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Sources of “Truth”. </w:t>
      </w:r>
    </w:p>
    <w:p w14:paraId="4E070B2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Governance and Administration.</w:t>
      </w:r>
    </w:p>
    <w:p w14:paraId="7F43F1BE"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Analytics.</w:t>
      </w:r>
    </w:p>
    <w:p w14:paraId="6C9DFBA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Privileged Account Management. </w:t>
      </w:r>
    </w:p>
    <w:p w14:paraId="03CC6322"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Proofing.</w:t>
      </w:r>
    </w:p>
    <w:p w14:paraId="6A4A416E" w14:textId="425649AE" w:rsidR="001471CB" w:rsidRDefault="001471CB" w:rsidP="001471CB">
      <w:pPr>
        <w:rPr>
          <w:rFonts w:ascii="Arial" w:eastAsia="Times New Roman" w:hAnsi="Arial" w:cs="Arial"/>
          <w:color w:val="000000"/>
          <w:sz w:val="22"/>
          <w:szCs w:val="22"/>
        </w:rPr>
      </w:pPr>
    </w:p>
    <w:p w14:paraId="035581B7" w14:textId="51731EFD" w:rsidR="001471CB" w:rsidRDefault="001471CB" w:rsidP="001471CB">
      <w:pPr>
        <w:pStyle w:val="Heading2"/>
        <w:rPr>
          <w:rFonts w:eastAsia="Times New Roman"/>
        </w:rPr>
      </w:pPr>
      <w:r>
        <w:rPr>
          <w:rFonts w:eastAsia="Times New Roman"/>
        </w:rPr>
        <w:t xml:space="preserve">Introduction to Identity – Part 2: Run-time </w:t>
      </w:r>
      <w:r w:rsidRPr="0023249E">
        <w:rPr>
          <w:i/>
          <w:iCs/>
        </w:rPr>
        <w:t xml:space="preserve">– </w:t>
      </w:r>
      <w:r w:rsidR="00146B20">
        <w:rPr>
          <w:i/>
          <w:iCs/>
        </w:rPr>
        <w:t>published</w:t>
      </w:r>
    </w:p>
    <w:p w14:paraId="6B3C8340" w14:textId="01E6D380" w:rsidR="001471CB" w:rsidRPr="001471CB" w:rsidRDefault="001471CB" w:rsidP="001471CB">
      <w:pPr>
        <w:pStyle w:val="Heading2"/>
      </w:pPr>
      <w:r>
        <w:t xml:space="preserve">Introduction to Identity – Part 3: Use Cases </w:t>
      </w:r>
      <w:r w:rsidRPr="0023249E">
        <w:rPr>
          <w:i/>
          <w:iCs/>
        </w:rPr>
        <w:t>– article in progress</w:t>
      </w:r>
    </w:p>
    <w:p w14:paraId="49180C89" w14:textId="17D000CC" w:rsidR="001471CB" w:rsidRPr="001471CB" w:rsidRDefault="001471CB" w:rsidP="001471CB">
      <w:pPr>
        <w:pStyle w:val="BodyText"/>
      </w:pPr>
    </w:p>
    <w:p w14:paraId="09A8A764" w14:textId="4878BE94" w:rsidR="00E64553" w:rsidRDefault="00E64553">
      <w:pPr>
        <w:pStyle w:val="Heading2"/>
      </w:pPr>
      <w:bookmarkStart w:id="1" w:name="information-security"/>
      <w:r>
        <w:lastRenderedPageBreak/>
        <w:t>Ethics</w:t>
      </w:r>
      <w:r w:rsidR="0023249E">
        <w:t xml:space="preserve"> </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64304896" w:rsidR="003913AE" w:rsidRDefault="002449FA">
      <w:pPr>
        <w:pStyle w:val="Heading3"/>
      </w:pPr>
      <w:bookmarkStart w:id="6" w:name="levels-of-assurance"/>
      <w:r>
        <w:t>Levels of Assurance</w:t>
      </w:r>
      <w:bookmarkEnd w:id="6"/>
    </w:p>
    <w:p w14:paraId="2B5D9A01" w14:textId="21AEEA82" w:rsidR="007C4674" w:rsidRPr="007C4674" w:rsidRDefault="007C4674" w:rsidP="007C4674">
      <w:pPr>
        <w:pStyle w:val="Heading2"/>
      </w:pPr>
      <w:r>
        <w:t>Bias in Identity Systems</w:t>
      </w:r>
    </w:p>
    <w:p w14:paraId="1B038C2F" w14:textId="77777777" w:rsidR="003913AE" w:rsidRDefault="002449FA">
      <w:pPr>
        <w:pStyle w:val="Heading1"/>
      </w:pPr>
      <w:bookmarkStart w:id="7" w:name="digital-identity"/>
      <w:r>
        <w:t>Digital Identity</w:t>
      </w:r>
      <w:bookmarkEnd w:id="7"/>
    </w:p>
    <w:p w14:paraId="7225ADA7" w14:textId="4E92429F" w:rsidR="003913AE" w:rsidRDefault="002449FA" w:rsidP="00E55BC9">
      <w:pPr>
        <w:pStyle w:val="Heading2"/>
      </w:pPr>
      <w:bookmarkStart w:id="8" w:name="definition"/>
      <w:r>
        <w:t>Definition</w:t>
      </w:r>
      <w:bookmarkEnd w:id="8"/>
      <w:r w:rsidR="00911915">
        <w:t xml:space="preserve"> of Digital Identity</w:t>
      </w:r>
    </w:p>
    <w:p w14:paraId="47DED40C" w14:textId="12E3ACC5"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9" w:name="reputation"/>
      <w:r>
        <w:t>Reputation</w:t>
      </w:r>
      <w:bookmarkEnd w:id="9"/>
    </w:p>
    <w:p w14:paraId="38E52BEE" w14:textId="125702C7" w:rsidR="003913AE" w:rsidRDefault="00911915" w:rsidP="00E55BC9">
      <w:pPr>
        <w:pStyle w:val="Heading2"/>
        <w:rPr>
          <w:i/>
          <w:iCs/>
        </w:rPr>
      </w:pPr>
      <w:bookmarkStart w:id="10" w:name="identifiers"/>
      <w:r>
        <w:t xml:space="preserve">Digital </w:t>
      </w:r>
      <w:r w:rsidR="002449FA">
        <w:t>Identifiers</w:t>
      </w:r>
      <w:bookmarkEnd w:id="10"/>
      <w:r w:rsidR="00EF4517">
        <w:t xml:space="preserve"> </w:t>
      </w:r>
      <w:r w:rsidR="00EF4517" w:rsidRPr="0023249E">
        <w:rPr>
          <w:i/>
          <w:iCs/>
        </w:rPr>
        <w:t xml:space="preserve">– </w:t>
      </w:r>
      <w:r w:rsidR="00146B20">
        <w:rPr>
          <w:i/>
          <w:iCs/>
        </w:rPr>
        <w:t>published</w:t>
      </w:r>
    </w:p>
    <w:p w14:paraId="3258E9F8" w14:textId="309F1F0E" w:rsidR="00911915" w:rsidRPr="00911915" w:rsidRDefault="00911915" w:rsidP="00911915">
      <w:pPr>
        <w:rPr>
          <w:rFonts w:ascii="Times New Roman" w:eastAsia="Times New Roman" w:hAnsi="Times New Roman" w:cs="Times New Roman"/>
        </w:rPr>
      </w:pPr>
      <w:r w:rsidRPr="00911915">
        <w:rPr>
          <w:rFonts w:ascii="Arial" w:eastAsia="Times New Roman" w:hAnsi="Arial" w:cs="Arial"/>
          <w:color w:val="000000"/>
          <w:sz w:val="22"/>
          <w:szCs w:val="22"/>
        </w:rPr>
        <w:t>Abstract:</w:t>
      </w:r>
      <w:r>
        <w:t xml:space="preserve"> </w:t>
      </w:r>
      <w:r w:rsidRPr="00911915">
        <w:rPr>
          <w:rFonts w:ascii="Arial" w:eastAsia="Times New Roman" w:hAnsi="Arial" w:cs="Arial"/>
          <w:color w:val="000000"/>
          <w:sz w:val="22"/>
          <w:szCs w:val="22"/>
        </w:rPr>
        <w:t>What is in a name?  It turns out that there are concerns that are explored here. These include the domain in which it can be considered unique when it can be reused, whether it should be considered secret, and whether it should be memorable.  Additional system-level considerations are raised such as permanent system identifiers.  Given that users may forget or lose their identifiers, the article also discusses the need to allow for the safe recovery of the same. Identifiers for devices are covered more fully in the non-human entity section.</w:t>
      </w:r>
    </w:p>
    <w:p w14:paraId="4AD327CC" w14:textId="694D6F20" w:rsidR="003913AE" w:rsidRDefault="002449FA" w:rsidP="00E55BC9">
      <w:pPr>
        <w:pStyle w:val="Heading2"/>
      </w:pPr>
      <w:bookmarkStart w:id="11" w:name="digital-identity-lifecycle"/>
      <w:r>
        <w:t>Digital Identity Lifecycle</w:t>
      </w:r>
      <w:bookmarkEnd w:id="11"/>
      <w:r w:rsidR="00146B20">
        <w:t xml:space="preserve"> – </w:t>
      </w:r>
      <w:r w:rsidR="00146B20" w:rsidRPr="00146B20">
        <w:rPr>
          <w:i/>
          <w:iCs/>
        </w:rPr>
        <w:t>article in progress</w:t>
      </w:r>
    </w:p>
    <w:p w14:paraId="6E95B1EB" w14:textId="501AB811"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In addition to the steps typically associated with other digital records, such as create, update and delete, this article describes several other activities also associated with digital identities.  For instance, there are activities that may gather or dispose of additional attribute information either based on claims made by a person or based on information from 3rd parties.  This article provides a list of activities that may occur between the creation of the digital identity and its disposal.</w:t>
      </w:r>
    </w:p>
    <w:p w14:paraId="269EEEC6" w14:textId="4367CF44" w:rsidR="00F44270" w:rsidRDefault="002449FA" w:rsidP="00E55BC9">
      <w:pPr>
        <w:pStyle w:val="Heading2"/>
      </w:pPr>
      <w:bookmarkStart w:id="12" w:name="proofing---we-need-to-avoid-this-word-th"/>
      <w:r>
        <w:lastRenderedPageBreak/>
        <w:t>Proofing</w:t>
      </w:r>
      <w:r w:rsidR="00F44270">
        <w:t>, B</w:t>
      </w:r>
      <w:r>
        <w:t xml:space="preserve">inding or </w:t>
      </w:r>
      <w:r w:rsidR="00F44270">
        <w:t>R</w:t>
      </w:r>
      <w:r>
        <w:t>egistration</w:t>
      </w:r>
      <w:r w:rsidR="009C16C6">
        <w:t xml:space="preserve"> </w:t>
      </w:r>
    </w:p>
    <w:p w14:paraId="00874B68" w14:textId="701426A0"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A3AE045" w14:textId="7500B1BC" w:rsidR="003913AE" w:rsidRDefault="009C16C6" w:rsidP="00F44270">
      <w:pPr>
        <w:pStyle w:val="Heading3"/>
      </w:pPr>
      <w:r>
        <w:t>V</w:t>
      </w:r>
      <w:r w:rsidR="002449FA">
        <w:t>erification/</w:t>
      </w:r>
      <w:r>
        <w:t>V</w:t>
      </w:r>
      <w:r w:rsidR="002449FA">
        <w:t>alidation</w:t>
      </w:r>
      <w:bookmarkEnd w:id="12"/>
    </w:p>
    <w:p w14:paraId="7FBA95B3" w14:textId="5C12B0F7" w:rsidR="003913AE" w:rsidRDefault="002449FA" w:rsidP="00E55BC9">
      <w:pPr>
        <w:pStyle w:val="Heading2"/>
      </w:pPr>
      <w:bookmarkStart w:id="13" w:name="credentials"/>
      <w:r>
        <w:t>Credentials</w:t>
      </w:r>
      <w:bookmarkEnd w:id="13"/>
    </w:p>
    <w:p w14:paraId="541BE073" w14:textId="46719970" w:rsidR="00911915" w:rsidRDefault="00911915" w:rsidP="00911915">
      <w:pPr>
        <w:spacing w:after="0"/>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0F182878" w14:textId="2CD541B6" w:rsidR="00146B20" w:rsidRDefault="00146B20" w:rsidP="00911915">
      <w:pPr>
        <w:spacing w:after="0"/>
        <w:rPr>
          <w:rFonts w:ascii="Arial" w:eastAsia="Times New Roman" w:hAnsi="Arial" w:cs="Arial"/>
          <w:color w:val="000000"/>
          <w:sz w:val="22"/>
          <w:szCs w:val="22"/>
        </w:rPr>
      </w:pPr>
    </w:p>
    <w:p w14:paraId="0C46ACDA" w14:textId="3EC37279" w:rsidR="00146B20" w:rsidRPr="00911915" w:rsidRDefault="00146B20" w:rsidP="00146B20">
      <w:pPr>
        <w:pStyle w:val="Heading3"/>
        <w:rPr>
          <w:rFonts w:ascii="Times New Roman" w:eastAsia="Times New Roman" w:hAnsi="Times New Roman" w:cs="Times New Roman"/>
        </w:rPr>
      </w:pPr>
      <w:r>
        <w:rPr>
          <w:rFonts w:eastAsia="Times New Roman"/>
        </w:rPr>
        <w:t>Introduction to Verifiable Credentials</w:t>
      </w:r>
    </w:p>
    <w:p w14:paraId="340DDDAD" w14:textId="44F3EB0A" w:rsidR="003913AE" w:rsidRDefault="002449FA">
      <w:pPr>
        <w:pStyle w:val="Heading1"/>
      </w:pPr>
      <w:bookmarkStart w:id="14" w:name="access-control"/>
      <w:r>
        <w:t>Access Control</w:t>
      </w:r>
      <w:bookmarkEnd w:id="14"/>
    </w:p>
    <w:p w14:paraId="5C8CB0D4" w14:textId="28400B1D" w:rsidR="00F26490" w:rsidRDefault="00F26490" w:rsidP="00F26490">
      <w:pPr>
        <w:pStyle w:val="Heading2"/>
      </w:pPr>
      <w:r>
        <w:t xml:space="preserve">Introduction to Access Control </w:t>
      </w:r>
      <w:r w:rsidRPr="0023249E">
        <w:rPr>
          <w:i/>
          <w:iCs/>
        </w:rPr>
        <w:t xml:space="preserve">– </w:t>
      </w:r>
      <w:r w:rsidR="00146B20">
        <w:rPr>
          <w:i/>
          <w:iCs/>
        </w:rPr>
        <w:t>published</w:t>
      </w:r>
    </w:p>
    <w:p w14:paraId="3F79436F" w14:textId="0951F7BE" w:rsidR="00F26490" w:rsidRPr="00F26490" w:rsidRDefault="00F26490" w:rsidP="00F26490">
      <w:pPr>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F26490">
        <w:rPr>
          <w:rFonts w:ascii="Arial" w:eastAsia="Times New Roman" w:hAnsi="Arial" w:cs="Arial"/>
          <w:color w:val="000000"/>
          <w:sz w:val="22"/>
          <w:szCs w:val="22"/>
        </w:rPr>
        <w:t>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2A1CD0D8" w14:textId="77777777" w:rsidR="00F26490" w:rsidRP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 xml:space="preserve">At its core access control is ensuring users are authenticated to access protected </w:t>
      </w:r>
      <w:bookmarkStart w:id="15" w:name="_hh3p6j1x9z4p" w:colFirst="0" w:colLast="0"/>
      <w:bookmarkEnd w:id="15"/>
      <w:r w:rsidRPr="00F26490">
        <w:rPr>
          <w:rFonts w:ascii="Arial" w:eastAsia="Times New Roman" w:hAnsi="Arial" w:cs="Arial"/>
          <w:color w:val="000000"/>
          <w:sz w:val="22"/>
          <w:szCs w:val="22"/>
        </w:rPr>
        <w:t>resources. This is accomplished by managing user entitlements and satisfying the requirements of relying applications so that users can only access the systems and information they are entitled to access.</w:t>
      </w:r>
    </w:p>
    <w:p w14:paraId="2C3ACCA5" w14:textId="77777777" w:rsid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This article looks at the history of access management, the expected current functionality and the trends to be expected.</w:t>
      </w:r>
      <w:bookmarkStart w:id="16" w:name="authentication"/>
    </w:p>
    <w:p w14:paraId="12FE142F" w14:textId="6B8C8C8C" w:rsidR="003913AE" w:rsidRDefault="002449FA" w:rsidP="00F26490">
      <w:pPr>
        <w:pStyle w:val="Heading3"/>
      </w:pPr>
      <w:r>
        <w:lastRenderedPageBreak/>
        <w:t>Authentication</w:t>
      </w:r>
      <w:bookmarkEnd w:id="16"/>
    </w:p>
    <w:p w14:paraId="38591CDA" w14:textId="77777777" w:rsidR="003913AE" w:rsidRDefault="002449FA">
      <w:pPr>
        <w:pStyle w:val="Heading3"/>
      </w:pPr>
      <w:bookmarkStart w:id="17" w:name="dynamic-authentication-risk-based"/>
      <w:r>
        <w:t>Dynamic Authentication (risk-based)</w:t>
      </w:r>
      <w:bookmarkEnd w:id="17"/>
    </w:p>
    <w:p w14:paraId="4DB49F80" w14:textId="77777777" w:rsidR="003913AE" w:rsidRDefault="002449FA">
      <w:pPr>
        <w:pStyle w:val="Heading3"/>
      </w:pPr>
      <w:bookmarkStart w:id="18" w:name="multi-factor-authentication"/>
      <w:r>
        <w:t>Multi-Factor Authentication</w:t>
      </w:r>
      <w:bookmarkEnd w:id="18"/>
    </w:p>
    <w:p w14:paraId="2557D635" w14:textId="1999A8EF" w:rsidR="003913AE" w:rsidRDefault="002449FA">
      <w:pPr>
        <w:pStyle w:val="Heading3"/>
      </w:pPr>
      <w:bookmarkStart w:id="19" w:name="single-sign-on-within-a-domain"/>
      <w:r>
        <w:t xml:space="preserve">Single Sign-on </w:t>
      </w:r>
      <w:r w:rsidR="009C16C6">
        <w:t>W</w:t>
      </w:r>
      <w:r>
        <w:t xml:space="preserve">ithin a </w:t>
      </w:r>
      <w:r w:rsidR="009C16C6">
        <w:t>D</w:t>
      </w:r>
      <w:r>
        <w:t>omain</w:t>
      </w:r>
      <w:bookmarkEnd w:id="19"/>
    </w:p>
    <w:p w14:paraId="35C16787" w14:textId="101051CE" w:rsidR="003913AE" w:rsidRDefault="002449FA">
      <w:pPr>
        <w:pStyle w:val="Heading3"/>
      </w:pPr>
      <w:bookmarkStart w:id="20" w:name="centralised-authentication-service"/>
      <w:proofErr w:type="spellStart"/>
      <w:r>
        <w:t>Centralised</w:t>
      </w:r>
      <w:proofErr w:type="spellEnd"/>
      <w:r>
        <w:t xml:space="preserve"> </w:t>
      </w:r>
      <w:r w:rsidR="009C16C6">
        <w:t>A</w:t>
      </w:r>
      <w:r>
        <w:t xml:space="preserve">uthentication </w:t>
      </w:r>
      <w:r w:rsidR="009C16C6">
        <w:t>S</w:t>
      </w:r>
      <w:r>
        <w:t>ervice</w:t>
      </w:r>
      <w:bookmarkEnd w:id="20"/>
    </w:p>
    <w:p w14:paraId="57AD6954" w14:textId="77777777" w:rsidR="003913AE" w:rsidRDefault="002449FA">
      <w:pPr>
        <w:pStyle w:val="Heading3"/>
      </w:pPr>
      <w:bookmarkStart w:id="21" w:name="federated-authentication-between-domains"/>
      <w:r>
        <w:t>Federated Authentication (between domains)</w:t>
      </w:r>
      <w:bookmarkEnd w:id="21"/>
    </w:p>
    <w:p w14:paraId="32AE99B4" w14:textId="0CC30FB0" w:rsidR="003913AE" w:rsidRDefault="002449FA">
      <w:pPr>
        <w:pStyle w:val="Heading3"/>
      </w:pPr>
      <w:bookmarkStart w:id="22" w:name="device-identity-for-corroboration"/>
      <w:r>
        <w:t xml:space="preserve">Device </w:t>
      </w:r>
      <w:r w:rsidR="009C16C6">
        <w:t>I</w:t>
      </w:r>
      <w:r>
        <w:t xml:space="preserve">dentity for </w:t>
      </w:r>
      <w:r w:rsidR="009C16C6">
        <w:t>C</w:t>
      </w:r>
      <w:r>
        <w:t>orroboration</w:t>
      </w:r>
      <w:bookmarkEnd w:id="22"/>
    </w:p>
    <w:p w14:paraId="6F4B4E3A" w14:textId="77777777" w:rsidR="003913AE" w:rsidRDefault="002449FA">
      <w:pPr>
        <w:pStyle w:val="Heading3"/>
      </w:pPr>
      <w:bookmarkStart w:id="23" w:name="fast-identity-online-fido-and-its-cousin"/>
      <w:r>
        <w:t>Fast Identity Online (FIDO) and its cousins</w:t>
      </w:r>
      <w:bookmarkEnd w:id="23"/>
    </w:p>
    <w:p w14:paraId="3704FDFB" w14:textId="77777777" w:rsidR="003913AE" w:rsidRDefault="002449FA">
      <w:pPr>
        <w:pStyle w:val="Heading3"/>
      </w:pPr>
      <w:bookmarkStart w:id="24" w:name="session-management"/>
      <w:r>
        <w:t>Session Management</w:t>
      </w:r>
      <w:bookmarkEnd w:id="24"/>
    </w:p>
    <w:p w14:paraId="55906A36" w14:textId="77777777" w:rsidR="003913AE" w:rsidRDefault="002449FA">
      <w:pPr>
        <w:pStyle w:val="Heading2"/>
      </w:pPr>
      <w:bookmarkStart w:id="25" w:name="authorization"/>
      <w:r>
        <w:t>Authorization</w:t>
      </w:r>
      <w:bookmarkEnd w:id="25"/>
    </w:p>
    <w:p w14:paraId="20478644" w14:textId="7D436336" w:rsidR="003913AE" w:rsidRDefault="002449FA">
      <w:pPr>
        <w:pStyle w:val="Heading3"/>
      </w:pPr>
      <w:bookmarkStart w:id="26" w:name="resources-to-protect"/>
      <w:r>
        <w:t xml:space="preserve">Resources to </w:t>
      </w:r>
      <w:r w:rsidR="009C16C6">
        <w:t>P</w:t>
      </w:r>
      <w:r>
        <w:t>rotect</w:t>
      </w:r>
      <w:bookmarkEnd w:id="26"/>
    </w:p>
    <w:p w14:paraId="72F6A0B6" w14:textId="77777777" w:rsidR="003913AE" w:rsidRDefault="002449FA">
      <w:pPr>
        <w:pStyle w:val="Heading3"/>
      </w:pPr>
      <w:bookmarkStart w:id="27" w:name="authorisation"/>
      <w:proofErr w:type="spellStart"/>
      <w:r>
        <w:t>Authorisation</w:t>
      </w:r>
      <w:bookmarkEnd w:id="27"/>
      <w:proofErr w:type="spellEnd"/>
    </w:p>
    <w:p w14:paraId="7A80674A" w14:textId="77777777" w:rsidR="003913AE" w:rsidRDefault="002449FA">
      <w:pPr>
        <w:pStyle w:val="Heading4"/>
      </w:pPr>
      <w:bookmarkStart w:id="28" w:name="acls"/>
      <w:r>
        <w:t>ACL’s</w:t>
      </w:r>
      <w:bookmarkEnd w:id="28"/>
    </w:p>
    <w:p w14:paraId="2B0787C8" w14:textId="77777777" w:rsidR="003913AE" w:rsidRDefault="002449FA">
      <w:pPr>
        <w:pStyle w:val="Heading4"/>
      </w:pPr>
      <w:bookmarkStart w:id="29" w:name="rbac"/>
      <w:r>
        <w:t>RBAC</w:t>
      </w:r>
      <w:bookmarkEnd w:id="29"/>
    </w:p>
    <w:p w14:paraId="5AF0CDE9" w14:textId="529A5A16" w:rsidR="003913AE" w:rsidRDefault="002449FA">
      <w:pPr>
        <w:pStyle w:val="Heading4"/>
      </w:pPr>
      <w:bookmarkStart w:id="30" w:name="abac-dynamic-access-management"/>
      <w:r>
        <w:t xml:space="preserve">ABAC / </w:t>
      </w:r>
      <w:r w:rsidR="009C16C6">
        <w:t>D</w:t>
      </w:r>
      <w:r>
        <w:t xml:space="preserve">ynamic </w:t>
      </w:r>
      <w:r w:rsidR="009C16C6">
        <w:t>A</w:t>
      </w:r>
      <w:r>
        <w:t xml:space="preserve">ccess </w:t>
      </w:r>
      <w:r w:rsidR="009C16C6">
        <w:t>M</w:t>
      </w:r>
      <w:r>
        <w:t>anagement</w:t>
      </w:r>
      <w:bookmarkEnd w:id="30"/>
    </w:p>
    <w:p w14:paraId="63183DB5" w14:textId="77777777" w:rsidR="003913AE" w:rsidRDefault="002449FA">
      <w:pPr>
        <w:pStyle w:val="Heading5"/>
      </w:pPr>
      <w:bookmarkStart w:id="31" w:name="policy-management-solutions"/>
      <w:r>
        <w:t>Policy Management solutions</w:t>
      </w:r>
      <w:bookmarkEnd w:id="31"/>
    </w:p>
    <w:p w14:paraId="34042F55" w14:textId="77777777" w:rsidR="003913AE" w:rsidRDefault="002449FA">
      <w:pPr>
        <w:pStyle w:val="Heading3"/>
      </w:pPr>
      <w:bookmarkStart w:id="32" w:name="privileged-access-management"/>
      <w:r>
        <w:t>Privileged Access Management</w:t>
      </w:r>
      <w:bookmarkEnd w:id="32"/>
    </w:p>
    <w:p w14:paraId="1F989CE8" w14:textId="4236D67A" w:rsidR="003913AE" w:rsidRDefault="002449FA">
      <w:pPr>
        <w:pStyle w:val="Heading4"/>
      </w:pPr>
      <w:bookmarkStart w:id="33" w:name="alignment-to-risk-management"/>
      <w:r>
        <w:t>Alignment to Risk Management</w:t>
      </w:r>
      <w:bookmarkEnd w:id="33"/>
    </w:p>
    <w:p w14:paraId="4CCEE3FB" w14:textId="64298739" w:rsidR="00390AAE" w:rsidRDefault="00390AAE" w:rsidP="0085279F">
      <w:pPr>
        <w:pStyle w:val="Heading4"/>
      </w:pPr>
      <w:r>
        <w:t>System Accounts</w:t>
      </w:r>
    </w:p>
    <w:p w14:paraId="2835746B" w14:textId="2ACBB19C" w:rsidR="00C228A3" w:rsidRPr="00C228A3" w:rsidRDefault="00C228A3" w:rsidP="00C228A3">
      <w:pPr>
        <w:pStyle w:val="Heading2"/>
      </w:pPr>
      <w:r>
        <w:t>Access Governance</w:t>
      </w:r>
      <w:r w:rsidR="00146B20">
        <w:t xml:space="preserve"> – </w:t>
      </w:r>
      <w:r w:rsidR="00146B20" w:rsidRPr="00146B20">
        <w:rPr>
          <w:i/>
          <w:iCs/>
        </w:rPr>
        <w:t>article in progress</w:t>
      </w:r>
    </w:p>
    <w:p w14:paraId="3CC83FA1" w14:textId="66B34832" w:rsidR="003913AE" w:rsidRDefault="009F177C">
      <w:pPr>
        <w:pStyle w:val="Heading1"/>
      </w:pPr>
      <w:bookmarkStart w:id="34" w:name="regulations-and-laws"/>
      <w:r>
        <w:t>Laws, Regulations, and Standards</w:t>
      </w:r>
      <w:bookmarkEnd w:id="34"/>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7303A92A" w:rsidR="009F177C" w:rsidRDefault="009F177C" w:rsidP="009F177C">
      <w:pPr>
        <w:pStyle w:val="Heading2"/>
        <w:rPr>
          <w:rFonts w:eastAsia="Times New Roman"/>
        </w:rPr>
      </w:pPr>
      <w:bookmarkStart w:id="35" w:name="survey-of-jurisdictions"/>
      <w:r w:rsidRPr="009F177C">
        <w:rPr>
          <w:rFonts w:eastAsia="Times New Roman"/>
        </w:rPr>
        <w:lastRenderedPageBreak/>
        <w:t>Framework to Understand Legal Environment</w:t>
      </w:r>
      <w:r w:rsidR="009D3879">
        <w:rPr>
          <w:rFonts w:eastAsia="Times New Roman"/>
        </w:rPr>
        <w:t xml:space="preserve"> </w:t>
      </w:r>
      <w:r w:rsidR="009D3879" w:rsidRPr="0023249E">
        <w:rPr>
          <w:i/>
          <w:iCs/>
        </w:rPr>
        <w:t xml:space="preserve">– </w:t>
      </w:r>
      <w:r w:rsidR="002828CB">
        <w:rPr>
          <w:i/>
          <w:iCs/>
        </w:rPr>
        <w:t>published</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5"/>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D5D736" w:rsidR="009F177C" w:rsidRDefault="007D05EE" w:rsidP="009F177C">
      <w:pPr>
        <w:pStyle w:val="Heading4"/>
      </w:pPr>
      <w:r>
        <w:t xml:space="preserve">Introduction to </w:t>
      </w:r>
      <w:r w:rsidR="009F177C">
        <w:t>GDPR</w:t>
      </w:r>
      <w:r w:rsidR="0023249E">
        <w:t xml:space="preserve"> </w:t>
      </w:r>
      <w:r w:rsidR="0023249E" w:rsidRPr="0023249E">
        <w:rPr>
          <w:i/>
          <w:iCs/>
        </w:rPr>
        <w:t xml:space="preserve">– </w:t>
      </w:r>
      <w:r w:rsidR="002828CB">
        <w:rPr>
          <w:i/>
          <w:iCs/>
        </w:rPr>
        <w:t>published</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C6DE32D" w:rsidR="007D05EE" w:rsidRDefault="007D05EE" w:rsidP="007D05EE">
      <w:pPr>
        <w:pStyle w:val="Heading4"/>
      </w:pPr>
      <w:r w:rsidRPr="007D05EE">
        <w:lastRenderedPageBreak/>
        <w:t>IAM Implications of GDPR</w:t>
      </w:r>
      <w:r w:rsidR="0023249E">
        <w:t xml:space="preserve"> </w:t>
      </w:r>
      <w:r w:rsidR="0023249E" w:rsidRPr="0023249E">
        <w:rPr>
          <w:i/>
          <w:iCs/>
        </w:rPr>
        <w:t xml:space="preserve">– </w:t>
      </w:r>
      <w:r w:rsidR="002828CB">
        <w:rPr>
          <w:i/>
          <w:iCs/>
        </w:rPr>
        <w:t>published</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170645A0" w:rsidR="009F177C" w:rsidRPr="009F177C" w:rsidRDefault="009F177C" w:rsidP="009F177C">
      <w:pPr>
        <w:pStyle w:val="Heading4"/>
      </w:pPr>
      <w:r w:rsidRPr="009F177C">
        <w:t>ISO/IEC 24760-2:2015 Information technology -- Security techniques -- A framework for identity management -- Part 2: Reference architecture and requirements</w:t>
      </w:r>
      <w:r w:rsidR="00F26490">
        <w:t xml:space="preserve"> – </w:t>
      </w:r>
      <w:r w:rsidR="00146B20">
        <w:rPr>
          <w:i/>
          <w:iCs/>
        </w:rPr>
        <w:t>published</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3FD09E3E"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3E959EDE"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415376BB" w:rsidR="0023249E" w:rsidRPr="0023249E" w:rsidRDefault="0023249E" w:rsidP="0023249E">
      <w:pPr>
        <w:pStyle w:val="Heading3"/>
      </w:pPr>
      <w:r>
        <w:t xml:space="preserve">Managing Consent </w:t>
      </w:r>
    </w:p>
    <w:p w14:paraId="615CC0CD" w14:textId="77777777" w:rsidR="003913AE" w:rsidRDefault="002449FA">
      <w:pPr>
        <w:pStyle w:val="Heading1"/>
      </w:pPr>
      <w:bookmarkStart w:id="36" w:name="workforce-iam-internal-iam"/>
      <w:r>
        <w:t xml:space="preserve">Workforce IAM </w:t>
      </w:r>
      <w:r w:rsidR="00E55BC9">
        <w:t xml:space="preserve">/ </w:t>
      </w:r>
      <w:r>
        <w:t>Internal IAM</w:t>
      </w:r>
      <w:bookmarkEnd w:id="36"/>
    </w:p>
    <w:p w14:paraId="74258FCE" w14:textId="7E155665" w:rsidR="00D07A63" w:rsidRDefault="00D07A63">
      <w:pPr>
        <w:pStyle w:val="Heading2"/>
      </w:pPr>
      <w:bookmarkStart w:id="37" w:name="iam-processes"/>
      <w:r>
        <w:t>Key Characteristics of Workforce IAM</w:t>
      </w:r>
    </w:p>
    <w:p w14:paraId="3E5D5FCD" w14:textId="684D2F89" w:rsidR="003913AE" w:rsidRDefault="002449FA">
      <w:pPr>
        <w:pStyle w:val="Heading2"/>
      </w:pPr>
      <w:r>
        <w:t xml:space="preserve">IAM </w:t>
      </w:r>
      <w:r w:rsidR="009C16C6">
        <w:t>P</w:t>
      </w:r>
      <w:r>
        <w:t>rocesses</w:t>
      </w:r>
      <w:bookmarkEnd w:id="37"/>
    </w:p>
    <w:p w14:paraId="1F310175" w14:textId="77777777" w:rsidR="003913AE" w:rsidRDefault="002449FA">
      <w:pPr>
        <w:pStyle w:val="Heading3"/>
      </w:pPr>
      <w:bookmarkStart w:id="38" w:name="joiner-mover-leaver"/>
      <w:r>
        <w:t>Joiner-Mover-Leaver</w:t>
      </w:r>
      <w:bookmarkEnd w:id="38"/>
    </w:p>
    <w:p w14:paraId="3611B202" w14:textId="571194DF" w:rsidR="003913AE" w:rsidRDefault="002449FA">
      <w:pPr>
        <w:pStyle w:val="Heading3"/>
      </w:pPr>
      <w:bookmarkStart w:id="39" w:name="hr-ownership"/>
      <w:r>
        <w:t xml:space="preserve">HR </w:t>
      </w:r>
      <w:r w:rsidR="009C16C6">
        <w:t>O</w:t>
      </w:r>
      <w:r>
        <w:t>wnership</w:t>
      </w:r>
      <w:bookmarkEnd w:id="39"/>
    </w:p>
    <w:p w14:paraId="5FE6BBA9" w14:textId="313B8C32" w:rsidR="003913AE" w:rsidRDefault="002449FA">
      <w:pPr>
        <w:pStyle w:val="Heading3"/>
      </w:pPr>
      <w:bookmarkStart w:id="40" w:name="provisioning-on-boarding-and-off-boardin"/>
      <w:r>
        <w:t>Provisioning (On-boarding and Off-boarding)</w:t>
      </w:r>
      <w:bookmarkEnd w:id="40"/>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1" w:name="re-certification"/>
      <w:r>
        <w:t>Re-certification</w:t>
      </w:r>
      <w:bookmarkEnd w:id="41"/>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2" w:name="analytics-and-intelligence"/>
      <w:r>
        <w:t>Analytics and Intelligence</w:t>
      </w:r>
      <w:bookmarkEnd w:id="42"/>
    </w:p>
    <w:p w14:paraId="5DD3D340" w14:textId="77777777" w:rsidR="006524AF" w:rsidRPr="006524AF" w:rsidRDefault="006524AF" w:rsidP="00020319">
      <w:pPr>
        <w:pStyle w:val="Heading2"/>
      </w:pPr>
      <w:bookmarkStart w:id="43" w:name="handling-business-partners-people"/>
      <w:r w:rsidRPr="006524AF">
        <w:t>Handling Business Partners’ People</w:t>
      </w:r>
      <w:bookmarkEnd w:id="43"/>
    </w:p>
    <w:p w14:paraId="21FF6509" w14:textId="77777777" w:rsidR="006524AF" w:rsidRPr="006524AF" w:rsidRDefault="006524AF" w:rsidP="006524AF">
      <w:pPr>
        <w:pStyle w:val="BodyText"/>
      </w:pPr>
    </w:p>
    <w:p w14:paraId="03043422" w14:textId="77777777" w:rsidR="003913AE" w:rsidRDefault="002449FA">
      <w:pPr>
        <w:pStyle w:val="Heading1"/>
      </w:pPr>
      <w:bookmarkStart w:id="44" w:name="consumercitizen-iam-1"/>
      <w:r>
        <w:t>Consumer</w:t>
      </w:r>
      <w:r w:rsidR="00E55BC9">
        <w:t>/</w:t>
      </w:r>
      <w:r>
        <w:t>Citizen IAM</w:t>
      </w:r>
      <w:bookmarkEnd w:id="44"/>
    </w:p>
    <w:p w14:paraId="0BE5952E" w14:textId="2917F4F6" w:rsidR="00D07A63" w:rsidRDefault="00D07A63" w:rsidP="003A4653">
      <w:pPr>
        <w:pStyle w:val="Heading2"/>
      </w:pPr>
      <w:bookmarkStart w:id="45" w:name="public-sector-vs.private-sector"/>
      <w:r>
        <w:t>Key Characteristics of CIAM</w:t>
      </w:r>
    </w:p>
    <w:p w14:paraId="65E6864F" w14:textId="13A068EA" w:rsidR="003A4653" w:rsidRDefault="00AC2565" w:rsidP="003A4653">
      <w:pPr>
        <w:pStyle w:val="Heading2"/>
      </w:pPr>
      <w:r>
        <w:t>CIAM vs Workforce IAM</w:t>
      </w:r>
    </w:p>
    <w:p w14:paraId="22E6C221" w14:textId="77777777" w:rsidR="00AC2565" w:rsidRPr="00AC2565" w:rsidRDefault="00AC2565" w:rsidP="00AC2565">
      <w:pPr>
        <w:spacing w:after="0"/>
        <w:rPr>
          <w:rFonts w:ascii="Times New Roman" w:eastAsia="Times New Roman" w:hAnsi="Times New Roman" w:cs="Times New Roman"/>
        </w:rPr>
      </w:pPr>
      <w:r w:rsidRPr="00AC2565">
        <w:rPr>
          <w:rFonts w:ascii="Arial" w:eastAsia="Times New Roman" w:hAnsi="Arial" w:cs="Arial"/>
          <w:color w:val="000000"/>
          <w:sz w:val="22"/>
          <w:szCs w:val="22"/>
        </w:rPr>
        <w:t xml:space="preserve">This introductory article reviews the main key differences between IAM in the consumer world versus IAM in the enterprise. Some of these differences </w:t>
      </w:r>
      <w:proofErr w:type="gramStart"/>
      <w:r w:rsidRPr="00AC2565">
        <w:rPr>
          <w:rFonts w:ascii="Arial" w:eastAsia="Times New Roman" w:hAnsi="Arial" w:cs="Arial"/>
          <w:color w:val="000000"/>
          <w:sz w:val="22"/>
          <w:szCs w:val="22"/>
        </w:rPr>
        <w:t>include:</w:t>
      </w:r>
      <w:proofErr w:type="gramEnd"/>
      <w:r w:rsidRPr="00AC2565">
        <w:rPr>
          <w:rFonts w:ascii="Arial" w:eastAsia="Times New Roman" w:hAnsi="Arial" w:cs="Arial"/>
          <w:color w:val="000000"/>
          <w:sz w:val="22"/>
          <w:szCs w:val="22"/>
        </w:rPr>
        <w:t xml:space="preserv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46" w:name="digital-legacy---handling-deceased-perso"/>
      <w:r>
        <w:lastRenderedPageBreak/>
        <w:t>Consumer Journey</w:t>
      </w:r>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Consumers are the focus of the CIAM program. There are several areas that need to be considered that could help you implement a successful CIAM program, including the registration process for consumers, determining and implementing assurance requirements, and the 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r>
        <w:t>Registration of consumers</w:t>
      </w:r>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r>
        <w:t xml:space="preserve">Authentication assurance (meeting </w:t>
      </w:r>
      <w:proofErr w:type="spellStart"/>
      <w:r>
        <w:t>LoA</w:t>
      </w:r>
      <w:proofErr w:type="spellEnd"/>
      <w:r>
        <w:t xml:space="preserve"> requirements)</w:t>
      </w:r>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r>
        <w:t>Data usage consent</w:t>
      </w:r>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r>
        <w:t>Social sign-in and sign-up</w:t>
      </w:r>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r w:rsidRPr="00AC2565">
        <w:rPr>
          <w:rFonts w:eastAsia="Times New Roman"/>
        </w:rPr>
        <w:t>Unified consumer view</w:t>
      </w:r>
    </w:p>
    <w:p w14:paraId="54A89B0D" w14:textId="155579CD" w:rsidR="00AC2565" w:rsidRDefault="00AC2565" w:rsidP="00AC2565">
      <w:pPr>
        <w:rPr>
          <w:rFonts w:ascii="Calibri" w:hAnsi="Calibri" w:cs="Calibri"/>
        </w:rPr>
      </w:pPr>
      <w:r w:rsidRPr="00AC2565">
        <w:br/>
      </w:r>
      <w:r w:rsidRPr="00AC2565">
        <w:rPr>
          <w:rFonts w:ascii="Calibri" w:hAnsi="Calibri" w:cs="Calibri"/>
        </w:rPr>
        <w:t xml:space="preserve">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w:t>
      </w:r>
      <w:r w:rsidRPr="00AC2565">
        <w:rPr>
          <w:rFonts w:ascii="Calibri" w:hAnsi="Calibri" w:cs="Calibri"/>
        </w:rPr>
        <w:lastRenderedPageBreak/>
        <w:t>and help shape the consumer profile. Done appropriately, this service can be of value to both the company and the consumer.</w:t>
      </w:r>
    </w:p>
    <w:p w14:paraId="10B114C4" w14:textId="77777777" w:rsidR="002C6F23" w:rsidRDefault="002C6F23" w:rsidP="002C6F23">
      <w:pPr>
        <w:pStyle w:val="Heading2"/>
      </w:pPr>
      <w:r>
        <w:t>Privacy and Compliance</w:t>
      </w:r>
    </w:p>
    <w:p w14:paraId="74766789" w14:textId="77777777" w:rsidR="002C6F23" w:rsidRDefault="002C6F23" w:rsidP="002C6F23">
      <w:pPr>
        <w:rPr>
          <w:shd w:val="clear" w:color="auto" w:fill="FFFFFF"/>
        </w:rPr>
      </w:pPr>
      <w:r>
        <w:rPr>
          <w:shd w:val="clear" w:color="auto" w:fill="FFFFFF"/>
        </w:rPr>
        <w:t>Privacy and compliance capabilities are foundational and the CIAM program should focus on protecting the individual</w:t>
      </w:r>
      <w:r>
        <w:rPr>
          <w:color w:val="444444"/>
          <w:shd w:val="clear" w:color="auto" w:fill="FFFFFF"/>
        </w:rPr>
        <w:t xml:space="preserve">. </w:t>
      </w:r>
      <w:r>
        <w:rPr>
          <w:shd w:val="clear" w:color="auto" w:fill="FFFFFF"/>
        </w:rPr>
        <w:t>CIAM teams must adhere to an increasing number of consumer protection laws and regulations. For example the EU General Data Protection Regulation (GDPR) and California Consumer Privacy Act (CCPA). Multinational companies should worry about the privacy compliance of each and every country they do business with. This article builds on other areas of the BoK that consider specific regulations like GDPR and discusses the specific considerations of privacy and compliance in a consumer-focused environment.</w:t>
      </w:r>
    </w:p>
    <w:p w14:paraId="2651CF4F" w14:textId="77777777" w:rsidR="002C6F23" w:rsidRDefault="002C6F23" w:rsidP="002C6F23">
      <w:pPr>
        <w:pStyle w:val="Heading2"/>
      </w:pPr>
      <w:r>
        <w:t>Security</w:t>
      </w:r>
    </w:p>
    <w:p w14:paraId="2B8ACF29" w14:textId="6EA90512" w:rsidR="002C6F23" w:rsidRDefault="002C6F23" w:rsidP="002C6F23">
      <w:r>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073A19FC"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5B0393F7" w14:textId="77777777" w:rsidR="002C6F23" w:rsidRDefault="002C6F23" w:rsidP="002C6F23">
      <w:pPr>
        <w:pStyle w:val="Heading3"/>
      </w:pPr>
      <w:r>
        <w:t>Adaptive authentication</w:t>
      </w:r>
    </w:p>
    <w:p w14:paraId="33504625" w14:textId="77777777" w:rsidR="002C6F23" w:rsidRDefault="002C6F23" w:rsidP="002C6F23">
      <w:r>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299FC3FF"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712EDD35" w14:textId="77777777" w:rsidR="002C6F23" w:rsidRPr="00475710" w:rsidRDefault="002C6F23" w:rsidP="002C6F23">
      <w:pPr>
        <w:pStyle w:val="Heading3"/>
      </w:pPr>
      <w:r w:rsidRPr="00475710">
        <w:t>Multi-Factor Authentication (MFA)</w:t>
      </w:r>
    </w:p>
    <w:p w14:paraId="0B2E77A8" w14:textId="653487A3" w:rsidR="002C6F23" w:rsidRPr="002C6F23" w:rsidRDefault="002C6F23" w:rsidP="00AC2565">
      <w:r>
        <w:rPr>
          <w:shd w:val="clear" w:color="auto" w:fill="FFFFFF"/>
        </w:rPr>
        <w:t xml:space="preserve">This refers to the use of more than one credential in the authentication of the user. Generally, the use of multiple factors results in a higher </w:t>
      </w:r>
      <w:proofErr w:type="spellStart"/>
      <w:r>
        <w:rPr>
          <w:shd w:val="clear" w:color="auto" w:fill="FFFFFF"/>
        </w:rPr>
        <w:t>LoA</w:t>
      </w:r>
      <w:proofErr w:type="spellEnd"/>
      <w:r>
        <w:rPr>
          <w:shd w:val="clear" w:color="auto" w:fill="FFFFFF"/>
        </w:rPr>
        <w:t xml:space="preserve"> for the user's authentication. Two-factor (2FA) is the simplest example of MFA where two different credentials are used.</w:t>
      </w:r>
      <w:r>
        <w:t xml:space="preserve"> </w:t>
      </w:r>
      <w:r>
        <w:rPr>
          <w:shd w:val="clear" w:color="auto" w:fill="FFFFFF"/>
        </w:rPr>
        <w:t>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07DEEA52" w14:textId="689BE20E" w:rsidR="00AC2565" w:rsidRDefault="00BD7F09" w:rsidP="00BD7F09">
      <w:pPr>
        <w:pStyle w:val="Heading1"/>
      </w:pPr>
      <w:r>
        <w:t>Public Sector IAM</w:t>
      </w:r>
    </w:p>
    <w:p w14:paraId="5E7F3632" w14:textId="77777777" w:rsidR="00AC2565" w:rsidRDefault="00AC2565" w:rsidP="00BD7F09">
      <w:pPr>
        <w:pStyle w:val="Heading2"/>
      </w:pPr>
      <w:r>
        <w:t>Public sector vs private sector</w:t>
      </w:r>
    </w:p>
    <w:p w14:paraId="4C95537F" w14:textId="49FF11A2" w:rsidR="00AC2565" w:rsidRDefault="00AC2565" w:rsidP="002C6F23">
      <w:r>
        <w:t xml:space="preserve">The article explains the unique use cases and challenges in the public sector and private sector that should be considered by the IAM practitioners. The article also provides the best practices and tips to deal with the use cases and challenges. Almost every service requires a different identification method in public sectors. Each governmental agency has </w:t>
      </w:r>
      <w:r>
        <w:lastRenderedPageBreak/>
        <w:t>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BD7F09">
      <w:pPr>
        <w:pStyle w:val="Heading3"/>
      </w:pPr>
      <w:r>
        <w:t>Strong identity proofing</w:t>
      </w:r>
    </w:p>
    <w:p w14:paraId="007550AF" w14:textId="12B0EB6A" w:rsidR="00AC2565" w:rsidRDefault="00AC2565" w:rsidP="002C6F23">
      <w:r>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F292006" w14:textId="67BE863B" w:rsidR="00BD7F09" w:rsidRDefault="00AC2565" w:rsidP="00BD7F09">
      <w:pPr>
        <w:pStyle w:val="Heading1"/>
      </w:pPr>
      <w:r>
        <w:t>Financial services</w:t>
      </w:r>
    </w:p>
    <w:p w14:paraId="2FA4EC44" w14:textId="2A5E4FD3" w:rsidR="00AC2565" w:rsidRPr="00BD7F09" w:rsidRDefault="00AC2565" w:rsidP="00BD7F09">
      <w:pPr>
        <w:rPr>
          <w:rFonts w:asciiTheme="majorHAnsi" w:eastAsiaTheme="majorEastAsia" w:hAnsiTheme="majorHAnsi" w:cstheme="majorBidi"/>
          <w:b/>
          <w:bCs/>
          <w:color w:val="345A8A" w:themeColor="accent1" w:themeShade="B5"/>
          <w:sz w:val="32"/>
          <w:szCs w:val="32"/>
        </w:rPr>
      </w:pPr>
      <w:r w:rsidRPr="00BD7F09">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BD7F09">
      <w:pPr>
        <w:pStyle w:val="Heading2"/>
      </w:pPr>
      <w:r>
        <w:t>Integration with the legacy system</w:t>
      </w:r>
    </w:p>
    <w:p w14:paraId="1D483914" w14:textId="4F38B9B1" w:rsidR="00AC2565" w:rsidRDefault="00AC2565" w:rsidP="002C6F23">
      <w:r>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BD7F09">
      <w:pPr>
        <w:pStyle w:val="Heading2"/>
      </w:pPr>
      <w:r>
        <w:t>High Level of Assurance on sensitive activities</w:t>
      </w:r>
    </w:p>
    <w:p w14:paraId="1A749CD0" w14:textId="3791C56B" w:rsidR="00AC2565" w:rsidRDefault="00AC2565" w:rsidP="002C6F23">
      <w:r>
        <w:t xml:space="preserve">Most of the activities in the financial services industry involve action toward and accessing sensitive information, such as purchase goods, funds transfer, etc. Due to this, there must be a high </w:t>
      </w:r>
      <w:proofErr w:type="spellStart"/>
      <w:r>
        <w:t>LoA</w:t>
      </w:r>
      <w:proofErr w:type="spellEnd"/>
      <w:r>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75202C70" w:rsidR="00AC2565" w:rsidRDefault="00AC2565" w:rsidP="00BD7F09">
      <w:pPr>
        <w:pStyle w:val="Heading2"/>
      </w:pPr>
      <w:r>
        <w:t>The identities delegation</w:t>
      </w:r>
    </w:p>
    <w:p w14:paraId="3D3D5708" w14:textId="6AEAF686" w:rsidR="00AC2565" w:rsidRDefault="00AC2565" w:rsidP="002C6F23">
      <w:r>
        <w:t xml:space="preserve">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w:t>
      </w:r>
      <w:r>
        <w:lastRenderedPageBreak/>
        <w:t>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BD7F09">
      <w:pPr>
        <w:pStyle w:val="Heading2"/>
      </w:pPr>
      <w:r w:rsidRPr="00AC2565">
        <w:t>Financial regulations compliance and guidance from the government organizations</w:t>
      </w:r>
    </w:p>
    <w:p w14:paraId="49FD7840" w14:textId="2C2637DA" w:rsidR="00AC2565" w:rsidRDefault="00AC2565" w:rsidP="002C6F23">
      <w:r>
        <w:t>There are specific regulations and organizational guidance in the financial industry that help security and convenience to the consumer, for example, Payment Service Directives 2 (PSD2), 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BD7F09">
      <w:pPr>
        <w:pStyle w:val="Heading1"/>
      </w:pPr>
      <w:r>
        <w:t>Healthcare</w:t>
      </w:r>
    </w:p>
    <w:p w14:paraId="0AEE6E22" w14:textId="6698072F" w:rsidR="00AC2565" w:rsidRDefault="00AC2565" w:rsidP="002C6F23">
      <w:r>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BD7F09">
      <w:pPr>
        <w:pStyle w:val="Heading2"/>
      </w:pPr>
      <w:r>
        <w:t>High Level of Assurance on sensitive data (</w:t>
      </w:r>
      <w:proofErr w:type="spellStart"/>
      <w:r>
        <w:t>LoA</w:t>
      </w:r>
      <w:proofErr w:type="spellEnd"/>
      <w:r>
        <w:t>)</w:t>
      </w:r>
    </w:p>
    <w:p w14:paraId="77289FD6" w14:textId="3ACCF25A" w:rsidR="00AC2565" w:rsidRDefault="00AC2565" w:rsidP="002C6F23">
      <w:r>
        <w:t xml:space="preserve">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w:t>
      </w:r>
      <w:r w:rsidR="002C6F23">
        <w:t>person</w:t>
      </w:r>
      <w:r>
        <w:t xml:space="preserve"> who doesn’t have a fixed address and no form of authentication wants to access </w:t>
      </w:r>
      <w:r w:rsidR="002C6F23">
        <w:t>their</w:t>
      </w:r>
      <w:r>
        <w:t xml:space="preserve"> data. The person deserves to access </w:t>
      </w:r>
      <w:r w:rsidR="002C6F23">
        <w:t>their</w:t>
      </w:r>
      <w:r>
        <w:t xml:space="preserve"> </w:t>
      </w:r>
      <w:proofErr w:type="gramStart"/>
      <w:r>
        <w:t>data</w:t>
      </w:r>
      <w:proofErr w:type="gramEnd"/>
      <w:r>
        <w:t xml:space="preserve"> but </w:t>
      </w:r>
      <w:r w:rsidR="002C6F23">
        <w:t>they</w:t>
      </w:r>
      <w:r>
        <w:t xml:space="preserve"> can’t prove </w:t>
      </w:r>
      <w:r w:rsidR="002C6F23">
        <w:t>themself</w:t>
      </w:r>
      <w:r>
        <w:t xml:space="preserve">. The section explains ways and best practices for achieving the high </w:t>
      </w:r>
      <w:proofErr w:type="spellStart"/>
      <w:r>
        <w:t>LoA</w:t>
      </w:r>
      <w:proofErr w:type="spellEnd"/>
      <w:r>
        <w:t xml:space="preserve">, e.g., step-authentication and to deal with the unique use case such as the homeless </w:t>
      </w:r>
      <w:r w:rsidR="002C6F23">
        <w:t>person</w:t>
      </w:r>
      <w:r>
        <w:t xml:space="preserve">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F6BD794" w:rsidR="00AC2565" w:rsidRDefault="00AC2565" w:rsidP="00BD7F09">
      <w:pPr>
        <w:pStyle w:val="Heading2"/>
      </w:pPr>
      <w:r>
        <w:t>Identities delegation</w:t>
      </w:r>
    </w:p>
    <w:p w14:paraId="5492855F" w14:textId="086C538F" w:rsidR="00AC2565" w:rsidRDefault="00AC2565" w:rsidP="002C6F23">
      <w:r>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BD7F09">
      <w:pPr>
        <w:pStyle w:val="Heading2"/>
      </w:pPr>
      <w:r>
        <w:lastRenderedPageBreak/>
        <w:t>Healthcare regulations compliance</w:t>
      </w:r>
    </w:p>
    <w:p w14:paraId="4A33D98D" w14:textId="72ABB3D9" w:rsidR="00AC2565" w:rsidRDefault="00AC2565" w:rsidP="002C6F23">
      <w:r>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2253394D" w:rsidR="00AC2565" w:rsidRDefault="002C6F23" w:rsidP="002C6F23">
      <w:pPr>
        <w:pStyle w:val="Heading1"/>
      </w:pPr>
      <w:r>
        <w:t>Gaming Industry</w:t>
      </w:r>
    </w:p>
    <w:p w14:paraId="202CF16A" w14:textId="7B15CD07" w:rsidR="00AC2565" w:rsidRDefault="00AC2565" w:rsidP="002C6F23">
      <w:pPr>
        <w:rPr>
          <w:b/>
          <w:bCs/>
        </w:rPr>
      </w:pPr>
      <w:r w:rsidRPr="00AC2565">
        <w:t>The section explains unique use cases and challenges faced in the gaming industry that should be considered for IAM practitioners. The section also explains the tips and best practices to deal with those use cases and challenges.</w:t>
      </w:r>
    </w:p>
    <w:p w14:paraId="75CFA23C" w14:textId="74F417AE" w:rsidR="00AC2565" w:rsidRDefault="00AC2565" w:rsidP="002C6F23">
      <w:pPr>
        <w:pStyle w:val="Heading2"/>
      </w:pPr>
      <w:r>
        <w:t>Local game privacy compliance</w:t>
      </w:r>
    </w:p>
    <w:p w14:paraId="398FD9F3" w14:textId="7385CF7F" w:rsidR="00AC2565" w:rsidRDefault="00AC2565" w:rsidP="002C6F23">
      <w:r>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2C6F23">
      <w:pPr>
        <w:pStyle w:val="Heading2"/>
      </w:pPr>
      <w:r>
        <w:t xml:space="preserve">Scalability and availability </w:t>
      </w:r>
    </w:p>
    <w:p w14:paraId="1566C5E8" w14:textId="77777777" w:rsidR="00AC2565" w:rsidRDefault="00AC2565" w:rsidP="002C6F23">
      <w:r>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2C6F23">
      <w:pPr>
        <w:pStyle w:val="Heading2"/>
      </w:pPr>
      <w:r w:rsidRPr="00475710">
        <w:t>Gaming and authentication</w:t>
      </w:r>
    </w:p>
    <w:p w14:paraId="2E4DD67F" w14:textId="77777777" w:rsidR="00AC2565" w:rsidRDefault="00AC2565" w:rsidP="002C6F23">
      <w:r>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5AE4913B" w14:textId="77777777" w:rsidR="00AC2565" w:rsidRPr="00AC2565" w:rsidRDefault="00AC2565" w:rsidP="00AC2565">
      <w:pPr>
        <w:pStyle w:val="BodyText"/>
      </w:pPr>
    </w:p>
    <w:p w14:paraId="58C5BA04" w14:textId="6BEC325C" w:rsidR="00D07A63" w:rsidRDefault="00D07A63">
      <w:pPr>
        <w:pStyle w:val="Heading1"/>
      </w:pPr>
      <w:bookmarkStart w:id="47" w:name="non-human-entity"/>
      <w:bookmarkEnd w:id="45"/>
      <w:bookmarkEnd w:id="46"/>
      <w:r>
        <w:t>Academic IAM</w:t>
      </w:r>
    </w:p>
    <w:p w14:paraId="5F54D161" w14:textId="1A01241C" w:rsidR="00D07A63" w:rsidRDefault="00D07A63" w:rsidP="00D07A63">
      <w:pPr>
        <w:pStyle w:val="Heading2"/>
      </w:pPr>
      <w:r>
        <w:t>Key Characteristics of Academic IAM</w:t>
      </w:r>
    </w:p>
    <w:p w14:paraId="38D31273" w14:textId="5A7592A1" w:rsidR="00D07A63" w:rsidRDefault="00D07A63" w:rsidP="00D07A63">
      <w:pPr>
        <w:pStyle w:val="Heading3"/>
      </w:pPr>
      <w:r>
        <w:t>K-12 IAM</w:t>
      </w:r>
    </w:p>
    <w:p w14:paraId="6B8712B6" w14:textId="29DF9E8E" w:rsidR="00D07A63" w:rsidRPr="00D07A63" w:rsidRDefault="00D07A63" w:rsidP="00D07A63">
      <w:pPr>
        <w:pStyle w:val="BodyText"/>
      </w:pPr>
      <w:r>
        <w:t>This article will describe the context and critical drivers for IAM in the world of K-12.</w:t>
      </w:r>
    </w:p>
    <w:p w14:paraId="021856F6" w14:textId="5699844E" w:rsidR="00D07A63" w:rsidRPr="00D07A63" w:rsidRDefault="00D07A63" w:rsidP="00D07A63">
      <w:pPr>
        <w:pStyle w:val="Heading3"/>
      </w:pPr>
      <w:r>
        <w:lastRenderedPageBreak/>
        <w:t>Higher Education IAM</w:t>
      </w:r>
    </w:p>
    <w:p w14:paraId="4E660811" w14:textId="3B504181" w:rsidR="00D07A63" w:rsidRDefault="00D07A63" w:rsidP="00D07A63">
      <w:pPr>
        <w:pStyle w:val="BodyText"/>
      </w:pPr>
      <w:r>
        <w:t>This article will describe the context and critical drivers for IAM in higher education.</w:t>
      </w:r>
    </w:p>
    <w:p w14:paraId="10EDB6BA" w14:textId="07024C16" w:rsidR="00D07A63" w:rsidRDefault="00D07A63" w:rsidP="00D07A63">
      <w:pPr>
        <w:pStyle w:val="Heading4"/>
      </w:pPr>
      <w:r>
        <w:t>Institutional Dynamics</w:t>
      </w:r>
    </w:p>
    <w:p w14:paraId="7E2DA02F" w14:textId="7A96A0DB" w:rsidR="00D07A63" w:rsidRDefault="00D07A63" w:rsidP="00D07A63">
      <w:pPr>
        <w:pStyle w:val="BodyText"/>
      </w:pPr>
      <w:r>
        <w:t xml:space="preserve">Discuss some of the major stakeholders in higher education and how they interact with an IAM system. </w:t>
      </w:r>
      <w:r w:rsidR="002847B8">
        <w:t xml:space="preserve">Stakeholders include students (undergraduate and graduate), faculty (research, teaching, emeritus, </w:t>
      </w:r>
      <w:proofErr w:type="spellStart"/>
      <w:r w:rsidR="002847B8">
        <w:t>adjuct</w:t>
      </w:r>
      <w:proofErr w:type="spellEnd"/>
      <w:r w:rsidR="002847B8">
        <w:t xml:space="preserve">, </w:t>
      </w:r>
      <w:proofErr w:type="spellStart"/>
      <w:r w:rsidR="002847B8">
        <w:t>etc</w:t>
      </w:r>
      <w:proofErr w:type="spellEnd"/>
      <w:r w:rsidR="002847B8">
        <w:t xml:space="preserve">), staff (including retirees), and general administration. </w:t>
      </w:r>
    </w:p>
    <w:p w14:paraId="7FA5DCB4" w14:textId="22926A0C" w:rsidR="002847B8" w:rsidRDefault="002847B8" w:rsidP="002847B8">
      <w:pPr>
        <w:pStyle w:val="Heading4"/>
      </w:pPr>
      <w:r>
        <w:t>Campus Libraries and IAM</w:t>
      </w:r>
    </w:p>
    <w:p w14:paraId="65FB0DBF" w14:textId="381315CE" w:rsidR="002847B8" w:rsidRPr="002847B8" w:rsidRDefault="002847B8" w:rsidP="002847B8">
      <w:pPr>
        <w:pStyle w:val="BodyText"/>
      </w:pPr>
      <w:r>
        <w:t>Campus libraries often have unique requirements of an IAM system. This article describes those considerations, touching on specific expectations around user privacy, subscription requirements, and business models.</w:t>
      </w:r>
    </w:p>
    <w:p w14:paraId="6E679421" w14:textId="4F385BD9" w:rsidR="002847B8" w:rsidRDefault="002847B8" w:rsidP="002847B8">
      <w:pPr>
        <w:pStyle w:val="Heading4"/>
      </w:pPr>
      <w:r>
        <w:t>Research Collaborations and IAM</w:t>
      </w:r>
    </w:p>
    <w:p w14:paraId="40286FC5" w14:textId="30F3F4CC" w:rsidR="002847B8" w:rsidRPr="002847B8" w:rsidRDefault="002847B8" w:rsidP="002847B8">
      <w:pPr>
        <w:pStyle w:val="BodyText"/>
      </w:pPr>
      <w:r>
        <w:t xml:space="preserve">Researchers often collaborate with other researchers from different campuses. Large-scale collaborations may have </w:t>
      </w:r>
      <w:proofErr w:type="gramStart"/>
      <w:r>
        <w:t>dozens</w:t>
      </w:r>
      <w:proofErr w:type="gramEnd"/>
      <w:r>
        <w:t xml:space="preserve"> or even hundreds of different institutions involved. This drives a need for federated identity beyond what most other campus stakeholder groups required. This article will explore the IAM requirements for this stakeholder group.</w:t>
      </w:r>
    </w:p>
    <w:p w14:paraId="3522346F" w14:textId="2BF35C80" w:rsidR="002847B8" w:rsidRDefault="002847B8" w:rsidP="002847B8">
      <w:pPr>
        <w:pStyle w:val="Heading4"/>
      </w:pPr>
      <w:r>
        <w:t>Academic Hospital Considerations</w:t>
      </w:r>
    </w:p>
    <w:p w14:paraId="6A39139C" w14:textId="77777777" w:rsidR="002847B8" w:rsidRPr="002847B8" w:rsidRDefault="002847B8" w:rsidP="002847B8">
      <w:pPr>
        <w:pStyle w:val="BodyText"/>
        <w:rPr>
          <w:rFonts w:ascii="Times New Roman" w:hAnsi="Times New Roman" w:cs="Times New Roman"/>
        </w:rPr>
      </w:pPr>
      <w:r w:rsidRPr="002847B8">
        <w:t>Many schools have academic medical centers with significantly different risk tolerances, requirements, modes of operation that cause them to have to act as a more-or-less separate entity with regard to IAM. This can cause issues for faculty, staff, students with dual roles.</w:t>
      </w:r>
    </w:p>
    <w:p w14:paraId="32306DAC" w14:textId="1A03151F" w:rsidR="002847B8" w:rsidRDefault="002847B8" w:rsidP="002847B8">
      <w:pPr>
        <w:pStyle w:val="Heading4"/>
      </w:pPr>
      <w:r>
        <w:t>Considerations for IAM for Small, Medium, and Large Campuses</w:t>
      </w:r>
    </w:p>
    <w:p w14:paraId="034E0608" w14:textId="046DCA4B" w:rsidR="002847B8" w:rsidRPr="002847B8" w:rsidRDefault="002847B8" w:rsidP="002847B8">
      <w:pPr>
        <w:pStyle w:val="BodyText"/>
      </w:pPr>
      <w:r>
        <w:t>The IAM requirements for a small liberal college are likely to be very different from that of a large research university. This article will explore the IAM requirements that are driven by the size and focus of different types of higher ed institutions.</w:t>
      </w:r>
    </w:p>
    <w:p w14:paraId="0C36C369" w14:textId="77777777" w:rsidR="002847B8" w:rsidRPr="002847B8" w:rsidRDefault="002847B8" w:rsidP="002847B8">
      <w:pPr>
        <w:pStyle w:val="BodyText"/>
      </w:pPr>
    </w:p>
    <w:p w14:paraId="1C781123" w14:textId="18BAB95E" w:rsidR="00D07A63" w:rsidRPr="00D07A63" w:rsidRDefault="00D07A63" w:rsidP="00D07A63">
      <w:pPr>
        <w:pStyle w:val="Heading2"/>
      </w:pPr>
      <w:r>
        <w:lastRenderedPageBreak/>
        <w:t>Risk Assessment for IAM in Academia</w:t>
      </w:r>
    </w:p>
    <w:p w14:paraId="10615BBE" w14:textId="171D43FB" w:rsidR="003913AE" w:rsidRDefault="002449FA">
      <w:pPr>
        <w:pStyle w:val="Heading1"/>
      </w:pPr>
      <w:r>
        <w:t>Non</w:t>
      </w:r>
      <w:r w:rsidR="00E55BC9">
        <w:t>-</w:t>
      </w:r>
      <w:r>
        <w:t>Human Entity</w:t>
      </w:r>
      <w:bookmarkEnd w:id="47"/>
      <w:r w:rsidR="00146B20">
        <w:t xml:space="preserve"> – </w:t>
      </w:r>
      <w:r w:rsidR="00146B20" w:rsidRPr="00146B20">
        <w:rPr>
          <w:i/>
          <w:iCs/>
        </w:rPr>
        <w:t>article in progress</w:t>
      </w:r>
    </w:p>
    <w:p w14:paraId="02093B47" w14:textId="6037B7EF" w:rsidR="003913AE" w:rsidRDefault="002449FA">
      <w:pPr>
        <w:pStyle w:val="Heading2"/>
      </w:pPr>
      <w:bookmarkStart w:id="48" w:name="operational-technology-ot"/>
      <w:r>
        <w:t>Operational Technology (OT)</w:t>
      </w:r>
      <w:bookmarkEnd w:id="48"/>
    </w:p>
    <w:p w14:paraId="54984582" w14:textId="2C3864DF" w:rsidR="003F7ED1" w:rsidRPr="003F7ED1" w:rsidRDefault="003F7ED1" w:rsidP="003F7ED1">
      <w:pPr>
        <w:pStyle w:val="Heading2"/>
      </w:pPr>
      <w:r>
        <w:t>Service Accounts</w:t>
      </w:r>
    </w:p>
    <w:p w14:paraId="3733CF90" w14:textId="1B3371E1" w:rsidR="003913AE" w:rsidRDefault="002449FA">
      <w:pPr>
        <w:pStyle w:val="Heading2"/>
      </w:pPr>
      <w:bookmarkStart w:id="49" w:name="iot-devices"/>
      <w:r>
        <w:t xml:space="preserve">IoT </w:t>
      </w:r>
      <w:r w:rsidR="009C16C6">
        <w:t>D</w:t>
      </w:r>
      <w:r>
        <w:t>evices</w:t>
      </w:r>
      <w:bookmarkEnd w:id="49"/>
    </w:p>
    <w:p w14:paraId="59AE86B4" w14:textId="77777777" w:rsidR="003913AE" w:rsidRDefault="002449FA">
      <w:pPr>
        <w:pStyle w:val="Heading3"/>
      </w:pPr>
      <w:bookmarkStart w:id="50" w:name="iot-sectors"/>
      <w:r>
        <w:t>IoT Sectors</w:t>
      </w:r>
      <w:bookmarkEnd w:id="50"/>
    </w:p>
    <w:p w14:paraId="17728B7F" w14:textId="77777777" w:rsidR="003913AE" w:rsidRDefault="002449FA">
      <w:pPr>
        <w:pStyle w:val="Heading4"/>
      </w:pPr>
      <w:bookmarkStart w:id="51" w:name="home-automation"/>
      <w:r>
        <w:t>Home Automation</w:t>
      </w:r>
      <w:bookmarkEnd w:id="51"/>
    </w:p>
    <w:p w14:paraId="205E5464" w14:textId="77777777" w:rsidR="003913AE" w:rsidRDefault="002449FA">
      <w:pPr>
        <w:pStyle w:val="Heading4"/>
      </w:pPr>
      <w:bookmarkStart w:id="52" w:name="personal-wearables"/>
      <w:r>
        <w:t>Personal (wearables)</w:t>
      </w:r>
      <w:bookmarkEnd w:id="52"/>
    </w:p>
    <w:p w14:paraId="5DD83E38" w14:textId="77777777" w:rsidR="003913AE" w:rsidRDefault="002449FA">
      <w:pPr>
        <w:pStyle w:val="Heading4"/>
      </w:pPr>
      <w:bookmarkStart w:id="53" w:name="implants"/>
      <w:r>
        <w:t>Implants</w:t>
      </w:r>
      <w:bookmarkEnd w:id="53"/>
    </w:p>
    <w:p w14:paraId="4BD7C588" w14:textId="07C0B853" w:rsidR="003913AE" w:rsidRDefault="002449FA">
      <w:pPr>
        <w:pStyle w:val="Heading4"/>
      </w:pPr>
      <w:bookmarkStart w:id="54" w:name="plant-automation"/>
      <w:r>
        <w:t xml:space="preserve">Plant </w:t>
      </w:r>
      <w:r w:rsidR="009C16C6">
        <w:t>A</w:t>
      </w:r>
      <w:r>
        <w:t>utomation</w:t>
      </w:r>
      <w:bookmarkEnd w:id="54"/>
    </w:p>
    <w:p w14:paraId="2FC1CE6B" w14:textId="77777777" w:rsidR="003913AE" w:rsidRDefault="002449FA">
      <w:pPr>
        <w:pStyle w:val="Heading4"/>
      </w:pPr>
      <w:bookmarkStart w:id="55" w:name="vehicle"/>
      <w:r>
        <w:t>Vehicle</w:t>
      </w:r>
      <w:bookmarkEnd w:id="55"/>
    </w:p>
    <w:p w14:paraId="3918BACF" w14:textId="52BE36E3" w:rsidR="003913AE" w:rsidRDefault="002449FA">
      <w:pPr>
        <w:pStyle w:val="Heading4"/>
      </w:pPr>
      <w:bookmarkStart w:id="56" w:name="smart-cities"/>
      <w:r>
        <w:t xml:space="preserve">Smart </w:t>
      </w:r>
      <w:r w:rsidR="009C16C6">
        <w:t>C</w:t>
      </w:r>
      <w:r>
        <w:t>ities</w:t>
      </w:r>
      <w:bookmarkEnd w:id="56"/>
    </w:p>
    <w:p w14:paraId="04C36C2C" w14:textId="7498B783" w:rsidR="003913AE" w:rsidRDefault="002449FA">
      <w:pPr>
        <w:pStyle w:val="Heading4"/>
      </w:pPr>
      <w:bookmarkStart w:id="57" w:name="agricuture"/>
      <w:r>
        <w:t>Agricu</w:t>
      </w:r>
      <w:r w:rsidR="00666F7F">
        <w:t>l</w:t>
      </w:r>
      <w:r>
        <w:t>ture</w:t>
      </w:r>
      <w:bookmarkEnd w:id="57"/>
    </w:p>
    <w:p w14:paraId="581986B6" w14:textId="21C51274" w:rsidR="003913AE" w:rsidRDefault="002449FA">
      <w:pPr>
        <w:pStyle w:val="Heading4"/>
      </w:pPr>
      <w:bookmarkStart w:id="58" w:name="buildiingindustrial"/>
      <w:r>
        <w:t>Building/Industrial</w:t>
      </w:r>
      <w:bookmarkEnd w:id="58"/>
    </w:p>
    <w:p w14:paraId="6651CCD5" w14:textId="77777777" w:rsidR="003913AE" w:rsidRDefault="002449FA">
      <w:pPr>
        <w:pStyle w:val="Heading4"/>
      </w:pPr>
      <w:bookmarkStart w:id="59" w:name="utilities"/>
      <w:r>
        <w:t>Utilities</w:t>
      </w:r>
      <w:bookmarkEnd w:id="59"/>
    </w:p>
    <w:p w14:paraId="6B2BE39D" w14:textId="77777777" w:rsidR="003913AE" w:rsidRDefault="002449FA">
      <w:pPr>
        <w:pStyle w:val="Heading2"/>
      </w:pPr>
      <w:bookmarkStart w:id="60" w:name="rpa-robotics"/>
      <w:r>
        <w:t>RPA / robotics</w:t>
      </w:r>
      <w:bookmarkEnd w:id="60"/>
    </w:p>
    <w:p w14:paraId="0DC7EEE1" w14:textId="77777777" w:rsidR="003913AE" w:rsidRDefault="002449FA">
      <w:pPr>
        <w:pStyle w:val="Heading2"/>
      </w:pPr>
      <w:bookmarkStart w:id="61" w:name="security-requirements"/>
      <w:r>
        <w:t>Security requirements</w:t>
      </w:r>
      <w:bookmarkEnd w:id="61"/>
    </w:p>
    <w:p w14:paraId="4A23F67E" w14:textId="0614F4AD" w:rsidR="003913AE" w:rsidRDefault="002449FA">
      <w:pPr>
        <w:pStyle w:val="Heading1"/>
      </w:pPr>
      <w:bookmarkStart w:id="62" w:name="iam-architecture-and-solutions"/>
      <w:r>
        <w:t xml:space="preserve">IAM </w:t>
      </w:r>
      <w:r w:rsidR="00E55BC9">
        <w:t xml:space="preserve">Architecture </w:t>
      </w:r>
      <w:r w:rsidR="009C16C6">
        <w:t>a</w:t>
      </w:r>
      <w:r w:rsidR="00E55BC9">
        <w:t>nd Solutions</w:t>
      </w:r>
      <w:bookmarkEnd w:id="62"/>
      <w:r w:rsidR="00643AEB">
        <w:t xml:space="preserve"> </w:t>
      </w:r>
    </w:p>
    <w:p w14:paraId="6CFB34D0" w14:textId="7B53696A" w:rsidR="00AA19BA" w:rsidRDefault="00AA19BA" w:rsidP="00AA19BA">
      <w:pPr>
        <w:pStyle w:val="Heading2"/>
      </w:pPr>
      <w:r>
        <w:t xml:space="preserve">IAM Architecture Overview </w:t>
      </w:r>
      <w:r w:rsidRPr="0023249E">
        <w:rPr>
          <w:i/>
          <w:iCs/>
        </w:rPr>
        <w:t xml:space="preserve">– </w:t>
      </w:r>
      <w:r w:rsidR="00146B20">
        <w:rPr>
          <w:i/>
          <w:iCs/>
        </w:rPr>
        <w:t>published</w:t>
      </w:r>
    </w:p>
    <w:p w14:paraId="1C89B35B" w14:textId="0A0B9E54" w:rsidR="00AA19BA" w:rsidRDefault="00AA19BA" w:rsidP="00146B20">
      <w:pPr>
        <w:pStyle w:val="Heading3"/>
      </w:pPr>
      <w:r>
        <w:t xml:space="preserve">Architecture Patterns </w:t>
      </w:r>
    </w:p>
    <w:p w14:paraId="06E1D82A" w14:textId="7AC5A32D" w:rsidR="00AA19BA" w:rsidRDefault="00AA19BA" w:rsidP="00146B20">
      <w:pPr>
        <w:pStyle w:val="Heading3"/>
      </w:pPr>
      <w:r>
        <w:t xml:space="preserve">Technical Architecture </w:t>
      </w:r>
    </w:p>
    <w:p w14:paraId="75B7BDF4" w14:textId="0B11EB10" w:rsidR="00AA19BA" w:rsidRDefault="00AA19BA" w:rsidP="00146B20">
      <w:pPr>
        <w:pStyle w:val="Heading3"/>
      </w:pPr>
      <w:r>
        <w:t xml:space="preserve">Identity Governance </w:t>
      </w:r>
    </w:p>
    <w:p w14:paraId="7CE963EB" w14:textId="49738613" w:rsidR="00AA19BA" w:rsidRDefault="00AA19BA" w:rsidP="00146B20">
      <w:pPr>
        <w:pStyle w:val="Heading3"/>
      </w:pPr>
      <w:r>
        <w:t xml:space="preserve">Elements of IGA Systems </w:t>
      </w:r>
    </w:p>
    <w:p w14:paraId="73FAF55A" w14:textId="6FEB68C2" w:rsidR="00AA19BA" w:rsidRPr="00AA19BA" w:rsidRDefault="00AA19BA" w:rsidP="00AA19BA">
      <w:pPr>
        <w:pStyle w:val="Heading2"/>
      </w:pPr>
      <w:r>
        <w:t xml:space="preserve">Key Definitions and Terms </w:t>
      </w:r>
    </w:p>
    <w:p w14:paraId="60B427EC" w14:textId="77777777" w:rsidR="003913AE" w:rsidRDefault="002449FA">
      <w:pPr>
        <w:pStyle w:val="Heading2"/>
      </w:pPr>
      <w:bookmarkStart w:id="63" w:name="business-system"/>
      <w:r>
        <w:t>Business System</w:t>
      </w:r>
      <w:bookmarkEnd w:id="63"/>
    </w:p>
    <w:p w14:paraId="7A6C7501" w14:textId="77777777" w:rsidR="003913AE" w:rsidRDefault="002449FA">
      <w:pPr>
        <w:pStyle w:val="Heading3"/>
      </w:pPr>
      <w:bookmarkStart w:id="64" w:name="business-processes"/>
      <w:r>
        <w:t>Business Processes</w:t>
      </w:r>
      <w:bookmarkEnd w:id="64"/>
    </w:p>
    <w:p w14:paraId="70E8E27B" w14:textId="77777777" w:rsidR="003913AE" w:rsidRDefault="002449FA">
      <w:pPr>
        <w:pStyle w:val="Heading4"/>
      </w:pPr>
      <w:bookmarkStart w:id="65" w:name="recertification-of-accounts"/>
      <w:r>
        <w:lastRenderedPageBreak/>
        <w:t>Recertification of accounts</w:t>
      </w:r>
      <w:bookmarkEnd w:id="65"/>
    </w:p>
    <w:p w14:paraId="77E4C61B" w14:textId="77777777" w:rsidR="003913AE" w:rsidRDefault="002449FA">
      <w:pPr>
        <w:pStyle w:val="Heading2"/>
      </w:pPr>
      <w:bookmarkStart w:id="66" w:name="recommended-practices"/>
      <w:r>
        <w:t>Recommended Practices</w:t>
      </w:r>
      <w:bookmarkEnd w:id="66"/>
    </w:p>
    <w:p w14:paraId="1E90FA76" w14:textId="77777777" w:rsidR="003913AE" w:rsidRDefault="002449FA">
      <w:pPr>
        <w:pStyle w:val="Heading3"/>
      </w:pPr>
      <w:bookmarkStart w:id="67" w:name="design-for-security"/>
      <w:r>
        <w:t>Design for security</w:t>
      </w:r>
      <w:bookmarkEnd w:id="67"/>
    </w:p>
    <w:p w14:paraId="1E38FC91" w14:textId="77777777" w:rsidR="003913AE" w:rsidRDefault="002449FA">
      <w:pPr>
        <w:pStyle w:val="Heading1"/>
      </w:pPr>
      <w:bookmarkStart w:id="68" w:name="operational-considerations"/>
      <w:r>
        <w:t>Operational Considerations</w:t>
      </w:r>
      <w:bookmarkEnd w:id="68"/>
    </w:p>
    <w:p w14:paraId="0B3E0698" w14:textId="77777777" w:rsidR="003913AE" w:rsidRDefault="002449FA">
      <w:pPr>
        <w:pStyle w:val="Heading2"/>
      </w:pPr>
      <w:bookmarkStart w:id="69" w:name="account-recovery"/>
      <w:r>
        <w:t>Account recovery</w:t>
      </w:r>
      <w:bookmarkEnd w:id="69"/>
    </w:p>
    <w:p w14:paraId="658FA65F" w14:textId="77777777" w:rsidR="003913AE" w:rsidRDefault="002449FA">
      <w:pPr>
        <w:pStyle w:val="Heading2"/>
      </w:pPr>
      <w:bookmarkStart w:id="70" w:name="call-centers"/>
      <w:r>
        <w:t>Call centers</w:t>
      </w:r>
      <w:bookmarkEnd w:id="70"/>
    </w:p>
    <w:p w14:paraId="52EE6A58" w14:textId="77777777" w:rsidR="003913AE" w:rsidRDefault="002449FA">
      <w:pPr>
        <w:pStyle w:val="Heading2"/>
      </w:pPr>
      <w:bookmarkStart w:id="71" w:name="engagement-of-user-for-their-own-securit"/>
      <w:r>
        <w:t>Engagement of user for their own security</w:t>
      </w:r>
      <w:bookmarkEnd w:id="71"/>
    </w:p>
    <w:p w14:paraId="1F729806" w14:textId="77777777" w:rsidR="003913AE" w:rsidRDefault="002449FA">
      <w:pPr>
        <w:pStyle w:val="Heading2"/>
      </w:pPr>
      <w:bookmarkStart w:id="72" w:name="security-events-and-operations"/>
      <w:r>
        <w:t>Security events and operations</w:t>
      </w:r>
      <w:bookmarkEnd w:id="72"/>
    </w:p>
    <w:p w14:paraId="0A3EE0CB" w14:textId="7302E2F6" w:rsidR="003913AE" w:rsidRDefault="002449FA">
      <w:pPr>
        <w:pStyle w:val="Heading1"/>
      </w:pPr>
      <w:bookmarkStart w:id="73" w:name="project-management"/>
      <w:r>
        <w:t>Project Management</w:t>
      </w:r>
      <w:bookmarkEnd w:id="73"/>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25521905"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xml:space="preserve">– </w:t>
      </w:r>
      <w:r w:rsidR="00146B20">
        <w:rPr>
          <w:i/>
          <w:iCs/>
        </w:rPr>
        <w:t>published</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4" w:name="iam-knowledge-sharing"/>
      <w:r>
        <w:lastRenderedPageBreak/>
        <w:t xml:space="preserve">IAM Knowledge </w:t>
      </w:r>
      <w:r w:rsidR="00E55BC9">
        <w:t>Sharing</w:t>
      </w:r>
      <w:bookmarkEnd w:id="74"/>
    </w:p>
    <w:p w14:paraId="5A93A03C" w14:textId="11040072" w:rsidR="007A627F" w:rsidRDefault="00636D5E" w:rsidP="003A4653">
      <w:pPr>
        <w:pStyle w:val="Heading2"/>
      </w:pPr>
      <w:r>
        <w:t>Independent Organizations</w:t>
      </w:r>
      <w:r w:rsidR="00AA19BA">
        <w:t xml:space="preserve"> </w:t>
      </w:r>
      <w:r w:rsidR="00AA19BA" w:rsidRPr="0023249E">
        <w:rPr>
          <w:i/>
          <w:iCs/>
        </w:rPr>
        <w:t xml:space="preserve">– </w:t>
      </w:r>
      <w:r w:rsidR="00146B20">
        <w:rPr>
          <w:i/>
          <w:iCs/>
        </w:rPr>
        <w:t>published</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1EC12BCE" w14:textId="5E38DC8B" w:rsidR="00146B20" w:rsidRDefault="00146B20" w:rsidP="007A627F">
      <w:pPr>
        <w:pStyle w:val="Heading2"/>
      </w:pPr>
      <w:bookmarkStart w:id="75" w:name="self-soverign-identity"/>
      <w:r>
        <w:t>Verifiable Credentials</w:t>
      </w:r>
    </w:p>
    <w:p w14:paraId="4C2D83BB" w14:textId="1AC1FADA" w:rsidR="003A4653" w:rsidRPr="007A627F" w:rsidRDefault="003A4653" w:rsidP="007A627F">
      <w:pPr>
        <w:pStyle w:val="Heading2"/>
      </w:pPr>
      <w:r w:rsidRPr="007A627F">
        <w:t>Self-Sovereign Identity</w:t>
      </w:r>
      <w:bookmarkEnd w:id="75"/>
    </w:p>
    <w:p w14:paraId="3DCF4CC0" w14:textId="760CDE26" w:rsidR="00B46969" w:rsidRPr="00B46969" w:rsidRDefault="003A4653" w:rsidP="005F59F9">
      <w:pPr>
        <w:pStyle w:val="Heading3"/>
      </w:pPr>
      <w:bookmarkStart w:id="76" w:name="blockchain-id-ssi"/>
      <w:r>
        <w:t>Blockchain ID</w:t>
      </w:r>
      <w:bookmarkEnd w:id="76"/>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FFE2E" w14:textId="77777777" w:rsidR="00E16DA0" w:rsidRDefault="00E16DA0">
      <w:pPr>
        <w:spacing w:after="0"/>
      </w:pPr>
      <w:r>
        <w:separator/>
      </w:r>
    </w:p>
  </w:endnote>
  <w:endnote w:type="continuationSeparator" w:id="0">
    <w:p w14:paraId="04C36C12" w14:textId="77777777" w:rsidR="00E16DA0" w:rsidRDefault="00E16D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CF209" w14:textId="77777777" w:rsidR="00E16DA0" w:rsidRDefault="00E16DA0">
      <w:r>
        <w:separator/>
      </w:r>
    </w:p>
  </w:footnote>
  <w:footnote w:type="continuationSeparator" w:id="0">
    <w:p w14:paraId="61D101FB" w14:textId="77777777" w:rsidR="00E16DA0" w:rsidRDefault="00E16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E098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893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7F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44BA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E223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58B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8F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E691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0E7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E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6"/>
  </w:num>
  <w:num w:numId="5">
    <w:abstractNumId w:val="12"/>
  </w:num>
  <w:num w:numId="6">
    <w:abstractNumId w:val="12"/>
    <w:lvlOverride w:ilvl="2">
      <w:lvl w:ilvl="2">
        <w:numFmt w:val="lowerRoman"/>
        <w:lvlText w:val="%3."/>
        <w:lvlJc w:val="right"/>
      </w:lvl>
    </w:lvlOverride>
  </w:num>
  <w:num w:numId="7">
    <w:abstractNumId w:val="12"/>
    <w:lvlOverride w:ilvl="2">
      <w:lvl w:ilvl="2">
        <w:numFmt w:val="lowerRoman"/>
        <w:lvlText w:val="%3."/>
        <w:lvlJc w:val="right"/>
      </w:lvl>
    </w:lvlOverride>
  </w:num>
  <w:num w:numId="8">
    <w:abstractNumId w:val="12"/>
    <w:lvlOverride w:ilvl="2">
      <w:lvl w:ilvl="2">
        <w:numFmt w:val="lowerRoman"/>
        <w:lvlText w:val="%3."/>
        <w:lvlJc w:val="right"/>
      </w:lvl>
    </w:lvlOverride>
  </w:num>
  <w:num w:numId="9">
    <w:abstractNumId w:val="12"/>
    <w:lvlOverride w:ilvl="2">
      <w:lvl w:ilvl="2">
        <w:numFmt w:val="lowerRoman"/>
        <w:lvlText w:val="%3."/>
        <w:lvlJc w:val="right"/>
      </w:lvl>
    </w:lvlOverride>
  </w:num>
  <w:num w:numId="10">
    <w:abstractNumId w:val="10"/>
  </w:num>
  <w:num w:numId="11">
    <w:abstractNumId w:val="17"/>
  </w:num>
  <w:num w:numId="12">
    <w:abstractNumId w:val="17"/>
    <w:lvlOverride w:ilvl="2">
      <w:lvl w:ilvl="2">
        <w:numFmt w:val="lowerRoman"/>
        <w:lvlText w:val="%3."/>
        <w:lvlJc w:val="right"/>
      </w:lvl>
    </w:lvlOverride>
  </w:num>
  <w:num w:numId="13">
    <w:abstractNumId w:val="17"/>
    <w:lvlOverride w:ilvl="2">
      <w:lvl w:ilvl="2">
        <w:numFmt w:val="lowerRoman"/>
        <w:lvlText w:val="%3."/>
        <w:lvlJc w:val="right"/>
      </w:lvl>
    </w:lvlOverride>
    <w:lvlOverride w:ilvl="4">
      <w:lvl w:ilvl="4">
        <w:numFmt w:val="lowerLetter"/>
        <w:lvlText w:val="%5."/>
        <w:lvlJc w:val="left"/>
      </w:lvl>
    </w:lvlOverride>
  </w:num>
  <w:num w:numId="14">
    <w:abstractNumId w:val="17"/>
    <w:lvlOverride w:ilvl="2">
      <w:lvl w:ilvl="2">
        <w:numFmt w:val="lowerRoman"/>
        <w:lvlText w:val="%3."/>
        <w:lvlJc w:val="right"/>
      </w:lvl>
    </w:lvlOverride>
    <w:lvlOverride w:ilvl="4">
      <w:lvl w:ilvl="4">
        <w:numFmt w:val="lowerLetter"/>
        <w:lvlText w:val="%5."/>
        <w:lvlJc w:val="left"/>
      </w:lvl>
    </w:lvlOverride>
  </w:num>
  <w:num w:numId="15">
    <w:abstractNumId w:val="17"/>
    <w:lvlOverride w:ilvl="2">
      <w:lvl w:ilvl="2">
        <w:numFmt w:val="lowerRoman"/>
        <w:lvlText w:val="%3."/>
        <w:lvlJc w:val="right"/>
      </w:lvl>
    </w:lvlOverride>
    <w:lvlOverride w:ilvl="4">
      <w:lvl w:ilvl="4">
        <w:numFmt w:val="lowerLetter"/>
        <w:lvlText w:val="%5."/>
        <w:lvlJc w:val="left"/>
      </w:lvl>
    </w:lvlOverride>
  </w:num>
  <w:num w:numId="16">
    <w:abstractNumId w:val="17"/>
    <w:lvlOverride w:ilvl="2">
      <w:lvl w:ilvl="2">
        <w:numFmt w:val="lowerRoman"/>
        <w:lvlText w:val="%3."/>
        <w:lvlJc w:val="right"/>
      </w:lvl>
    </w:lvlOverride>
    <w:lvlOverride w:ilvl="4">
      <w:lvl w:ilvl="4">
        <w:numFmt w:val="lowerLetter"/>
        <w:lvlText w:val="%5."/>
        <w:lvlJc w:val="left"/>
      </w:lvl>
    </w:lvlOverride>
  </w:num>
  <w:num w:numId="17">
    <w:abstractNumId w:val="17"/>
    <w:lvlOverride w:ilvl="2">
      <w:lvl w:ilvl="2">
        <w:numFmt w:val="lowerRoman"/>
        <w:lvlText w:val="%3."/>
        <w:lvlJc w:val="right"/>
      </w:lvl>
    </w:lvlOverride>
    <w:lvlOverride w:ilvl="4">
      <w:lvl w:ilvl="4">
        <w:numFmt w:val="lowerLetter"/>
        <w:lvlText w:val="%5."/>
        <w:lvlJc w:val="left"/>
      </w:lvl>
    </w:lvlOverride>
  </w:num>
  <w:num w:numId="18">
    <w:abstractNumId w:val="17"/>
    <w:lvlOverride w:ilvl="2">
      <w:lvl w:ilvl="2">
        <w:numFmt w:val="lowerRoman"/>
        <w:lvlText w:val="%3."/>
        <w:lvlJc w:val="right"/>
      </w:lvl>
    </w:lvlOverride>
    <w:lvlOverride w:ilvl="4">
      <w:lvl w:ilvl="4">
        <w:numFmt w:val="lowerLetter"/>
        <w:lvlText w:val="%5."/>
        <w:lvlJc w:val="left"/>
      </w:lvl>
    </w:lvlOverride>
  </w:num>
  <w:num w:numId="19">
    <w:abstractNumId w:val="17"/>
    <w:lvlOverride w:ilvl="2">
      <w:lvl w:ilvl="2">
        <w:numFmt w:val="lowerRoman"/>
        <w:lvlText w:val="%3."/>
        <w:lvlJc w:val="right"/>
      </w:lvl>
    </w:lvlOverride>
    <w:lvlOverride w:ilvl="4">
      <w:lvl w:ilvl="4">
        <w:numFmt w:val="lowerLetter"/>
        <w:lvlText w:val="%5."/>
        <w:lvlJc w:val="left"/>
      </w:lvl>
    </w:lvlOverride>
  </w:num>
  <w:num w:numId="20">
    <w:abstractNumId w:val="17"/>
    <w:lvlOverride w:ilvl="2">
      <w:lvl w:ilvl="2">
        <w:numFmt w:val="lowerRoman"/>
        <w:lvlText w:val="%3."/>
        <w:lvlJc w:val="right"/>
      </w:lvl>
    </w:lvlOverride>
    <w:lvlOverride w:ilvl="4">
      <w:lvl w:ilvl="4">
        <w:numFmt w:val="lowerLetter"/>
        <w:lvlText w:val="%5."/>
        <w:lvlJc w:val="left"/>
      </w:lvl>
    </w:lvlOverride>
  </w:num>
  <w:num w:numId="21">
    <w:abstractNumId w:val="11"/>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5"/>
    <w:lvlOverride w:ilvl="2">
      <w:lvl w:ilvl="2">
        <w:numFmt w:val="lowerRoman"/>
        <w:lvlText w:val="%3."/>
        <w:lvlJc w:val="right"/>
      </w:lvl>
    </w:lvlOverride>
  </w:num>
  <w:num w:numId="34">
    <w:abstractNumId w:val="15"/>
    <w:lvlOverride w:ilvl="2">
      <w:lvl w:ilvl="2">
        <w:numFmt w:val="lowerRoman"/>
        <w:lvlText w:val="%3."/>
        <w:lvlJc w:val="right"/>
      </w:lvl>
    </w:lvlOverride>
  </w:num>
  <w:num w:numId="35">
    <w:abstractNumId w:val="2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46B20"/>
    <w:rsid w:val="001471CB"/>
    <w:rsid w:val="00153E2F"/>
    <w:rsid w:val="001C6943"/>
    <w:rsid w:val="0023249E"/>
    <w:rsid w:val="002449FA"/>
    <w:rsid w:val="00277096"/>
    <w:rsid w:val="002828CB"/>
    <w:rsid w:val="002847B8"/>
    <w:rsid w:val="002C6F23"/>
    <w:rsid w:val="002E038B"/>
    <w:rsid w:val="002F63F1"/>
    <w:rsid w:val="00363337"/>
    <w:rsid w:val="00390AAE"/>
    <w:rsid w:val="003913AE"/>
    <w:rsid w:val="003A4653"/>
    <w:rsid w:val="003A58A8"/>
    <w:rsid w:val="003C5389"/>
    <w:rsid w:val="003E4DDB"/>
    <w:rsid w:val="003F7ED1"/>
    <w:rsid w:val="00471AB6"/>
    <w:rsid w:val="00475710"/>
    <w:rsid w:val="004C190E"/>
    <w:rsid w:val="004E29B3"/>
    <w:rsid w:val="004E4538"/>
    <w:rsid w:val="0058380E"/>
    <w:rsid w:val="00586D84"/>
    <w:rsid w:val="00590D07"/>
    <w:rsid w:val="005F59F9"/>
    <w:rsid w:val="006130C6"/>
    <w:rsid w:val="006177D5"/>
    <w:rsid w:val="00636D5E"/>
    <w:rsid w:val="00643AEB"/>
    <w:rsid w:val="006474A1"/>
    <w:rsid w:val="006524AF"/>
    <w:rsid w:val="00657805"/>
    <w:rsid w:val="00666F7F"/>
    <w:rsid w:val="006C21B9"/>
    <w:rsid w:val="006C2F64"/>
    <w:rsid w:val="007115BC"/>
    <w:rsid w:val="00734718"/>
    <w:rsid w:val="00771594"/>
    <w:rsid w:val="00784D58"/>
    <w:rsid w:val="007A627F"/>
    <w:rsid w:val="007C4674"/>
    <w:rsid w:val="007D05EE"/>
    <w:rsid w:val="00816BD4"/>
    <w:rsid w:val="008515D6"/>
    <w:rsid w:val="0085279F"/>
    <w:rsid w:val="008B7D1C"/>
    <w:rsid w:val="008D6863"/>
    <w:rsid w:val="00911915"/>
    <w:rsid w:val="00915885"/>
    <w:rsid w:val="009C16C6"/>
    <w:rsid w:val="009D3879"/>
    <w:rsid w:val="009F177C"/>
    <w:rsid w:val="00A0691F"/>
    <w:rsid w:val="00A27C7A"/>
    <w:rsid w:val="00A57D0B"/>
    <w:rsid w:val="00AA19BA"/>
    <w:rsid w:val="00AC2565"/>
    <w:rsid w:val="00B46969"/>
    <w:rsid w:val="00B86B75"/>
    <w:rsid w:val="00BC48D5"/>
    <w:rsid w:val="00BD7F09"/>
    <w:rsid w:val="00BF2ADC"/>
    <w:rsid w:val="00C228A3"/>
    <w:rsid w:val="00C36279"/>
    <w:rsid w:val="00D07A63"/>
    <w:rsid w:val="00D74BDB"/>
    <w:rsid w:val="00DD58D8"/>
    <w:rsid w:val="00E16DA0"/>
    <w:rsid w:val="00E315A3"/>
    <w:rsid w:val="00E44BDC"/>
    <w:rsid w:val="00E55BC9"/>
    <w:rsid w:val="00E64553"/>
    <w:rsid w:val="00E83229"/>
    <w:rsid w:val="00EA275E"/>
    <w:rsid w:val="00EF4517"/>
    <w:rsid w:val="00F26490"/>
    <w:rsid w:val="00F44270"/>
    <w:rsid w:val="00F54803"/>
    <w:rsid w:val="00FA4BE7"/>
    <w:rsid w:val="00FC1631"/>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48724759">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19</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49</cp:revision>
  <dcterms:created xsi:type="dcterms:W3CDTF">2018-12-16T19:30:00Z</dcterms:created>
  <dcterms:modified xsi:type="dcterms:W3CDTF">2020-07-15T16:46:00Z</dcterms:modified>
</cp:coreProperties>
</file>