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287BB0A6" w14:textId="4862AAC3" w:rsidR="008515D6" w:rsidRDefault="008515D6">
      <w:pPr>
        <w:pStyle w:val="Heading2"/>
      </w:pPr>
      <w:bookmarkStart w:id="1" w:name="information-security"/>
      <w:r>
        <w:t>How to Approach Identity</w:t>
      </w:r>
      <w:r w:rsidR="0023249E">
        <w:t xml:space="preserve"> </w:t>
      </w:r>
      <w:r w:rsidR="0023249E" w:rsidRPr="0023249E">
        <w:rPr>
          <w:i/>
          <w:iCs/>
        </w:rPr>
        <w:t>– article in progress</w:t>
      </w:r>
    </w:p>
    <w:p w14:paraId="3CA72FE5" w14:textId="016AE1EB" w:rsidR="008515D6" w:rsidRDefault="008515D6" w:rsidP="008515D6">
      <w:pPr>
        <w:pStyle w:val="Heading2"/>
      </w:pPr>
      <w:r>
        <w:t>Constituencies</w:t>
      </w:r>
      <w:r w:rsidR="0023249E">
        <w:t xml:space="preserve"> </w:t>
      </w:r>
      <w:r w:rsidR="0023249E" w:rsidRPr="0023249E">
        <w:rPr>
          <w:i/>
          <w:iCs/>
        </w:rPr>
        <w:t>– article in progress</w:t>
      </w:r>
    </w:p>
    <w:p w14:paraId="4C632330" w14:textId="7C69B76E" w:rsidR="008515D6" w:rsidRDefault="008515D6" w:rsidP="008515D6">
      <w:pPr>
        <w:pStyle w:val="Heading3"/>
      </w:pPr>
      <w:r>
        <w:t>Business to Employee</w:t>
      </w:r>
      <w:r w:rsidR="0023249E">
        <w:t xml:space="preserve"> </w:t>
      </w:r>
      <w:r w:rsidR="0023249E" w:rsidRPr="0023249E">
        <w:rPr>
          <w:i/>
          <w:iCs/>
        </w:rPr>
        <w:t>– article in progress</w:t>
      </w:r>
    </w:p>
    <w:p w14:paraId="0D46C9A3" w14:textId="7EAEE69A" w:rsidR="008515D6" w:rsidRDefault="008515D6" w:rsidP="008515D6">
      <w:pPr>
        <w:pStyle w:val="Heading3"/>
      </w:pPr>
      <w:r>
        <w:t>Business to Business</w:t>
      </w:r>
      <w:r w:rsidR="0023249E">
        <w:t xml:space="preserve"> </w:t>
      </w:r>
      <w:r w:rsidR="0023249E" w:rsidRPr="0023249E">
        <w:rPr>
          <w:i/>
          <w:iCs/>
        </w:rPr>
        <w:t>– article in progress</w:t>
      </w:r>
    </w:p>
    <w:p w14:paraId="2EEB8F46" w14:textId="16D1A00D" w:rsidR="008515D6" w:rsidRDefault="008515D6" w:rsidP="008515D6">
      <w:pPr>
        <w:pStyle w:val="Heading3"/>
      </w:pPr>
      <w:r>
        <w:t>Business to Customer</w:t>
      </w:r>
      <w:r w:rsidR="0023249E">
        <w:t xml:space="preserve"> </w:t>
      </w:r>
      <w:r w:rsidR="0023249E" w:rsidRPr="0023249E">
        <w:rPr>
          <w:i/>
          <w:iCs/>
        </w:rPr>
        <w:t>– article in progress</w:t>
      </w:r>
    </w:p>
    <w:p w14:paraId="7D55B1BB" w14:textId="02F5E12D" w:rsidR="008515D6" w:rsidRDefault="008515D6" w:rsidP="008515D6">
      <w:pPr>
        <w:pStyle w:val="Heading2"/>
      </w:pPr>
      <w:r>
        <w:t>Technologies Involved</w:t>
      </w:r>
      <w:r w:rsidR="0023249E">
        <w:t xml:space="preserve"> </w:t>
      </w:r>
      <w:r w:rsidR="0023249E" w:rsidRPr="0023249E">
        <w:rPr>
          <w:i/>
          <w:iCs/>
        </w:rPr>
        <w:t>– article in progress</w:t>
      </w:r>
    </w:p>
    <w:p w14:paraId="5361FAAF" w14:textId="2DCC35A5" w:rsidR="008515D6" w:rsidRDefault="008515D6" w:rsidP="008515D6">
      <w:pPr>
        <w:pStyle w:val="Heading3"/>
      </w:pPr>
      <w:r>
        <w:t>Admin-time Technologies</w:t>
      </w:r>
      <w:r w:rsidR="0023249E">
        <w:t xml:space="preserve"> </w:t>
      </w:r>
      <w:r w:rsidR="0023249E" w:rsidRPr="0023249E">
        <w:rPr>
          <w:i/>
          <w:iCs/>
        </w:rPr>
        <w:t>– article in progress</w:t>
      </w:r>
    </w:p>
    <w:p w14:paraId="21887464" w14:textId="0E32BA90" w:rsidR="008515D6" w:rsidRDefault="008515D6" w:rsidP="008515D6">
      <w:pPr>
        <w:pStyle w:val="Heading3"/>
      </w:pPr>
      <w:r>
        <w:t>Privileged Account Management</w:t>
      </w:r>
      <w:r w:rsidR="0023249E">
        <w:t xml:space="preserve"> </w:t>
      </w:r>
      <w:r w:rsidR="0023249E" w:rsidRPr="0023249E">
        <w:rPr>
          <w:i/>
          <w:iCs/>
        </w:rPr>
        <w:t>– article in progress</w:t>
      </w:r>
    </w:p>
    <w:p w14:paraId="561B5113" w14:textId="4B2BD298" w:rsidR="008515D6" w:rsidRPr="008515D6" w:rsidRDefault="008515D6" w:rsidP="008515D6">
      <w:pPr>
        <w:pStyle w:val="Heading3"/>
      </w:pPr>
      <w:r>
        <w:t>Proofing</w:t>
      </w:r>
      <w:r w:rsidR="0023249E">
        <w:t xml:space="preserve"> </w:t>
      </w:r>
      <w:r w:rsidR="0023249E" w:rsidRPr="0023249E">
        <w:rPr>
          <w:i/>
          <w:iCs/>
        </w:rPr>
        <w:t>– article in progress</w:t>
      </w:r>
    </w:p>
    <w:p w14:paraId="09A8A764" w14:textId="6B3AF878" w:rsidR="00E64553" w:rsidRDefault="00E64553">
      <w:pPr>
        <w:pStyle w:val="Heading2"/>
      </w:pPr>
      <w:r>
        <w:t>Ethics</w:t>
      </w:r>
      <w:r w:rsidR="0023249E">
        <w:t xml:space="preserve"> </w:t>
      </w:r>
      <w:r w:rsidR="0023249E" w:rsidRPr="0023249E">
        <w:rPr>
          <w:i/>
          <w:iCs/>
        </w:rPr>
        <w:t>– article in progress</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w:t>
      </w:r>
      <w:r w:rsidRPr="00911915">
        <w:rPr>
          <w:rFonts w:ascii="Arial" w:eastAsia="Times New Roman" w:hAnsi="Arial" w:cs="Arial"/>
          <w:color w:val="000000"/>
          <w:sz w:val="22"/>
          <w:szCs w:val="22"/>
        </w:rPr>
        <w:lastRenderedPageBreak/>
        <w:t xml:space="preserve">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5BE9C5DF" w:rsidR="003913AE" w:rsidRDefault="00911915" w:rsidP="00E55BC9">
      <w:pPr>
        <w:pStyle w:val="Heading2"/>
        <w:rPr>
          <w:i/>
          <w:iCs/>
        </w:rPr>
      </w:pPr>
      <w:bookmarkStart w:id="10" w:name="identifiers"/>
      <w:r>
        <w:t xml:space="preserve">Digital </w:t>
      </w:r>
      <w:proofErr w:type="gramStart"/>
      <w:r w:rsidR="002449FA">
        <w:t>Identifiers</w:t>
      </w:r>
      <w:bookmarkEnd w:id="10"/>
      <w:r w:rsidR="00EF4517">
        <w:t xml:space="preserve">  </w:t>
      </w:r>
      <w:r w:rsidR="00EF4517" w:rsidRPr="0023249E">
        <w:rPr>
          <w:i/>
          <w:iCs/>
        </w:rPr>
        <w:t>–</w:t>
      </w:r>
      <w:proofErr w:type="gramEnd"/>
      <w:r w:rsidR="00EF4517" w:rsidRPr="0023249E">
        <w:rPr>
          <w:i/>
          <w:iCs/>
        </w:rPr>
        <w:t xml:space="preserve"> article in progress</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0BF91B37" w:rsidR="003913AE" w:rsidRDefault="002449FA" w:rsidP="00E55BC9">
      <w:pPr>
        <w:pStyle w:val="Heading2"/>
      </w:pPr>
      <w:bookmarkStart w:id="11" w:name="digital-identity-lifecycle"/>
      <w:r>
        <w:t>Digital Identity Lifecycle</w:t>
      </w:r>
      <w:bookmarkEnd w:id="11"/>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63771E8C"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340DDDAD" w14:textId="77777777" w:rsidR="003913AE" w:rsidRDefault="002449FA">
      <w:pPr>
        <w:pStyle w:val="Heading1"/>
      </w:pPr>
      <w:bookmarkStart w:id="14" w:name="access-control"/>
      <w:r>
        <w:lastRenderedPageBreak/>
        <w:t>Access Control</w:t>
      </w:r>
      <w:bookmarkEnd w:id="14"/>
    </w:p>
    <w:p w14:paraId="12FE142F" w14:textId="77777777" w:rsidR="003913AE" w:rsidRDefault="002449FA">
      <w:pPr>
        <w:pStyle w:val="Heading2"/>
      </w:pPr>
      <w:bookmarkStart w:id="15" w:name="authentication"/>
      <w:r>
        <w:t>Authentication</w:t>
      </w:r>
      <w:bookmarkEnd w:id="15"/>
    </w:p>
    <w:p w14:paraId="38591CDA" w14:textId="77777777" w:rsidR="003913AE" w:rsidRDefault="002449FA">
      <w:pPr>
        <w:pStyle w:val="Heading3"/>
      </w:pPr>
      <w:bookmarkStart w:id="16" w:name="dynamic-authentication-risk-based"/>
      <w:r>
        <w:t>Dynamic Authentication (risk-based)</w:t>
      </w:r>
      <w:bookmarkEnd w:id="16"/>
    </w:p>
    <w:p w14:paraId="4DB49F80" w14:textId="77777777" w:rsidR="003913AE" w:rsidRDefault="002449FA">
      <w:pPr>
        <w:pStyle w:val="Heading3"/>
      </w:pPr>
      <w:bookmarkStart w:id="17" w:name="multi-factor-authentication"/>
      <w:r>
        <w:t>Multi-Factor Authentication</w:t>
      </w:r>
      <w:bookmarkEnd w:id="17"/>
    </w:p>
    <w:p w14:paraId="2557D635" w14:textId="1999A8EF" w:rsidR="003913AE" w:rsidRDefault="002449FA">
      <w:pPr>
        <w:pStyle w:val="Heading3"/>
      </w:pPr>
      <w:bookmarkStart w:id="18" w:name="single-sign-on-within-a-domain"/>
      <w:r>
        <w:t xml:space="preserve">Single Sign-on </w:t>
      </w:r>
      <w:r w:rsidR="009C16C6">
        <w:t>W</w:t>
      </w:r>
      <w:r>
        <w:t xml:space="preserve">ithin a </w:t>
      </w:r>
      <w:r w:rsidR="009C16C6">
        <w:t>D</w:t>
      </w:r>
      <w:r>
        <w:t>omain</w:t>
      </w:r>
      <w:bookmarkEnd w:id="18"/>
    </w:p>
    <w:p w14:paraId="35C16787" w14:textId="101051CE" w:rsidR="003913AE" w:rsidRDefault="002449FA">
      <w:pPr>
        <w:pStyle w:val="Heading3"/>
      </w:pPr>
      <w:bookmarkStart w:id="19" w:name="centralised-authentication-service"/>
      <w:proofErr w:type="spellStart"/>
      <w:r>
        <w:t>Centralised</w:t>
      </w:r>
      <w:proofErr w:type="spellEnd"/>
      <w:r>
        <w:t xml:space="preserve"> </w:t>
      </w:r>
      <w:r w:rsidR="009C16C6">
        <w:t>A</w:t>
      </w:r>
      <w:r>
        <w:t xml:space="preserve">uthentication </w:t>
      </w:r>
      <w:r w:rsidR="009C16C6">
        <w:t>S</w:t>
      </w:r>
      <w:r>
        <w:t>ervice</w:t>
      </w:r>
      <w:bookmarkEnd w:id="19"/>
    </w:p>
    <w:p w14:paraId="57AD6954" w14:textId="77777777" w:rsidR="003913AE" w:rsidRDefault="002449FA">
      <w:pPr>
        <w:pStyle w:val="Heading3"/>
      </w:pPr>
      <w:bookmarkStart w:id="20" w:name="federated-authentication-between-domains"/>
      <w:r>
        <w:t>Federated Authentication (between domains)</w:t>
      </w:r>
      <w:bookmarkEnd w:id="20"/>
    </w:p>
    <w:p w14:paraId="32AE99B4" w14:textId="0CC30FB0" w:rsidR="003913AE" w:rsidRDefault="002449FA">
      <w:pPr>
        <w:pStyle w:val="Heading3"/>
      </w:pPr>
      <w:bookmarkStart w:id="21" w:name="device-identity-for-corroboration"/>
      <w:r>
        <w:t xml:space="preserve">Device </w:t>
      </w:r>
      <w:r w:rsidR="009C16C6">
        <w:t>I</w:t>
      </w:r>
      <w:r>
        <w:t xml:space="preserve">dentity for </w:t>
      </w:r>
      <w:r w:rsidR="009C16C6">
        <w:t>C</w:t>
      </w:r>
      <w:r>
        <w:t>orroboration</w:t>
      </w:r>
      <w:bookmarkEnd w:id="21"/>
    </w:p>
    <w:p w14:paraId="6F4B4E3A" w14:textId="77777777" w:rsidR="003913AE" w:rsidRDefault="002449FA">
      <w:pPr>
        <w:pStyle w:val="Heading3"/>
      </w:pPr>
      <w:bookmarkStart w:id="22" w:name="fast-identity-online-fido-and-its-cousin"/>
      <w:r>
        <w:t>Fast Identity Online (FIDO) and its cousins</w:t>
      </w:r>
      <w:bookmarkEnd w:id="22"/>
    </w:p>
    <w:p w14:paraId="3704FDFB" w14:textId="77777777" w:rsidR="003913AE" w:rsidRDefault="002449FA">
      <w:pPr>
        <w:pStyle w:val="Heading3"/>
      </w:pPr>
      <w:bookmarkStart w:id="23" w:name="session-management"/>
      <w:r>
        <w:t>Session Management</w:t>
      </w:r>
      <w:bookmarkEnd w:id="23"/>
    </w:p>
    <w:p w14:paraId="55906A36" w14:textId="77777777" w:rsidR="003913AE" w:rsidRDefault="002449FA">
      <w:pPr>
        <w:pStyle w:val="Heading2"/>
      </w:pPr>
      <w:bookmarkStart w:id="24" w:name="authorization"/>
      <w:r>
        <w:t>Authorization</w:t>
      </w:r>
      <w:bookmarkEnd w:id="24"/>
    </w:p>
    <w:p w14:paraId="20478644" w14:textId="7D436336" w:rsidR="003913AE" w:rsidRDefault="002449FA">
      <w:pPr>
        <w:pStyle w:val="Heading3"/>
      </w:pPr>
      <w:bookmarkStart w:id="25" w:name="resources-to-protect"/>
      <w:r>
        <w:t xml:space="preserve">Resources to </w:t>
      </w:r>
      <w:r w:rsidR="009C16C6">
        <w:t>P</w:t>
      </w:r>
      <w:r>
        <w:t>rotect</w:t>
      </w:r>
      <w:bookmarkEnd w:id="25"/>
    </w:p>
    <w:p w14:paraId="72F6A0B6" w14:textId="77777777" w:rsidR="003913AE" w:rsidRDefault="002449FA">
      <w:pPr>
        <w:pStyle w:val="Heading3"/>
      </w:pPr>
      <w:bookmarkStart w:id="26" w:name="authorisation"/>
      <w:proofErr w:type="spellStart"/>
      <w:r>
        <w:t>Authorisation</w:t>
      </w:r>
      <w:bookmarkEnd w:id="26"/>
      <w:proofErr w:type="spellEnd"/>
    </w:p>
    <w:p w14:paraId="7A80674A" w14:textId="77777777" w:rsidR="003913AE" w:rsidRDefault="002449FA">
      <w:pPr>
        <w:pStyle w:val="Heading4"/>
      </w:pPr>
      <w:bookmarkStart w:id="27" w:name="acls"/>
      <w:r>
        <w:t>ACL’s</w:t>
      </w:r>
      <w:bookmarkEnd w:id="27"/>
    </w:p>
    <w:p w14:paraId="2B0787C8" w14:textId="77777777" w:rsidR="003913AE" w:rsidRDefault="002449FA">
      <w:pPr>
        <w:pStyle w:val="Heading4"/>
      </w:pPr>
      <w:bookmarkStart w:id="28" w:name="rbac"/>
      <w:r>
        <w:t>RBAC</w:t>
      </w:r>
      <w:bookmarkEnd w:id="28"/>
    </w:p>
    <w:p w14:paraId="5AF0CDE9" w14:textId="529A5A16" w:rsidR="003913AE" w:rsidRDefault="002449FA">
      <w:pPr>
        <w:pStyle w:val="Heading4"/>
      </w:pPr>
      <w:bookmarkStart w:id="29" w:name="abac-dynamic-access-management"/>
      <w:r>
        <w:t xml:space="preserve">ABAC / </w:t>
      </w:r>
      <w:r w:rsidR="009C16C6">
        <w:t>D</w:t>
      </w:r>
      <w:r>
        <w:t xml:space="preserve">ynamic </w:t>
      </w:r>
      <w:r w:rsidR="009C16C6">
        <w:t>A</w:t>
      </w:r>
      <w:r>
        <w:t xml:space="preserve">ccess </w:t>
      </w:r>
      <w:r w:rsidR="009C16C6">
        <w:t>M</w:t>
      </w:r>
      <w:r>
        <w:t>anagement</w:t>
      </w:r>
      <w:bookmarkEnd w:id="29"/>
    </w:p>
    <w:p w14:paraId="63183DB5" w14:textId="77777777" w:rsidR="003913AE" w:rsidRDefault="002449FA">
      <w:pPr>
        <w:pStyle w:val="Heading5"/>
      </w:pPr>
      <w:bookmarkStart w:id="30" w:name="policy-management-solutions"/>
      <w:r>
        <w:t>Policy Management solutions</w:t>
      </w:r>
      <w:bookmarkEnd w:id="30"/>
    </w:p>
    <w:p w14:paraId="34042F55" w14:textId="77777777" w:rsidR="003913AE" w:rsidRDefault="002449FA">
      <w:pPr>
        <w:pStyle w:val="Heading3"/>
      </w:pPr>
      <w:bookmarkStart w:id="31" w:name="privileged-access-management"/>
      <w:r>
        <w:t>Privileged Access Management</w:t>
      </w:r>
      <w:bookmarkEnd w:id="31"/>
    </w:p>
    <w:p w14:paraId="1F989CE8" w14:textId="4236D67A" w:rsidR="003913AE" w:rsidRDefault="002449FA">
      <w:pPr>
        <w:pStyle w:val="Heading4"/>
      </w:pPr>
      <w:bookmarkStart w:id="32" w:name="alignment-to-risk-management"/>
      <w:r>
        <w:t>Alignment to Risk Management</w:t>
      </w:r>
      <w:bookmarkEnd w:id="32"/>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3" w:name="regulations-and-laws"/>
      <w:r>
        <w:t>Laws, Regulations, and Standards</w:t>
      </w:r>
      <w:bookmarkEnd w:id="33"/>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39469DE0" w:rsidR="009F177C" w:rsidRDefault="009F177C" w:rsidP="009F177C">
      <w:pPr>
        <w:pStyle w:val="Heading2"/>
        <w:rPr>
          <w:rFonts w:eastAsia="Times New Roman"/>
        </w:rPr>
      </w:pPr>
      <w:bookmarkStart w:id="34"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article in progress</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4"/>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505AF8F9" w:rsidR="009F177C" w:rsidRDefault="007D05EE" w:rsidP="009F177C">
      <w:pPr>
        <w:pStyle w:val="Heading4"/>
      </w:pPr>
      <w:r>
        <w:t xml:space="preserve">Introduction to </w:t>
      </w:r>
      <w:r w:rsidR="009F177C">
        <w:t>GDPR</w:t>
      </w:r>
      <w:r w:rsidR="0023249E">
        <w:t xml:space="preserve"> </w:t>
      </w:r>
      <w:r w:rsidR="0023249E" w:rsidRPr="0023249E">
        <w:rPr>
          <w:i/>
          <w:iCs/>
        </w:rPr>
        <w:t>– article in progress</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D0E3928" w:rsidR="007D05EE" w:rsidRDefault="007D05EE" w:rsidP="007D05EE">
      <w:pPr>
        <w:pStyle w:val="Heading4"/>
      </w:pPr>
      <w:r w:rsidRPr="007D05EE">
        <w:lastRenderedPageBreak/>
        <w:t>IAM Implications of GDPR</w:t>
      </w:r>
      <w:r w:rsidR="0023249E">
        <w:t xml:space="preserve"> </w:t>
      </w:r>
      <w:r w:rsidR="0023249E" w:rsidRPr="0023249E">
        <w:rPr>
          <w:i/>
          <w:iCs/>
        </w:rPr>
        <w:t>– article in progress</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37638437" w:rsidR="0023249E" w:rsidRPr="0023249E" w:rsidRDefault="0023249E" w:rsidP="0023249E">
      <w:pPr>
        <w:pStyle w:val="Heading3"/>
      </w:pPr>
      <w:r>
        <w:t xml:space="preserve">Managing Consent </w:t>
      </w:r>
      <w:r w:rsidRPr="0023249E">
        <w:rPr>
          <w:i/>
          <w:iCs/>
        </w:rPr>
        <w:t>– article in progress</w:t>
      </w:r>
    </w:p>
    <w:p w14:paraId="615CC0CD" w14:textId="77777777" w:rsidR="003913AE" w:rsidRDefault="002449FA">
      <w:pPr>
        <w:pStyle w:val="Heading1"/>
      </w:pPr>
      <w:bookmarkStart w:id="35" w:name="workforce-iam-internal-iam"/>
      <w:r>
        <w:t xml:space="preserve">Workforce IAM </w:t>
      </w:r>
      <w:r w:rsidR="00E55BC9">
        <w:t xml:space="preserve">/ </w:t>
      </w:r>
      <w:r>
        <w:t>Internal IAM</w:t>
      </w:r>
      <w:bookmarkEnd w:id="35"/>
    </w:p>
    <w:p w14:paraId="3E5D5FCD" w14:textId="5D8F0F20" w:rsidR="003913AE" w:rsidRDefault="002449FA">
      <w:pPr>
        <w:pStyle w:val="Heading2"/>
      </w:pPr>
      <w:bookmarkStart w:id="36" w:name="iam-processes"/>
      <w:r>
        <w:t xml:space="preserve">IAM </w:t>
      </w:r>
      <w:r w:rsidR="009C16C6">
        <w:t>P</w:t>
      </w:r>
      <w:r>
        <w:t>rocesses</w:t>
      </w:r>
      <w:bookmarkEnd w:id="36"/>
    </w:p>
    <w:p w14:paraId="1F310175" w14:textId="77777777" w:rsidR="003913AE" w:rsidRDefault="002449FA">
      <w:pPr>
        <w:pStyle w:val="Heading3"/>
      </w:pPr>
      <w:bookmarkStart w:id="37" w:name="joiner-mover-leaver"/>
      <w:r>
        <w:t>Joiner-Mover-Leaver</w:t>
      </w:r>
      <w:bookmarkEnd w:id="37"/>
    </w:p>
    <w:p w14:paraId="3611B202" w14:textId="571194DF" w:rsidR="003913AE" w:rsidRDefault="002449FA">
      <w:pPr>
        <w:pStyle w:val="Heading3"/>
      </w:pPr>
      <w:bookmarkStart w:id="38" w:name="hr-ownership"/>
      <w:r>
        <w:t xml:space="preserve">HR </w:t>
      </w:r>
      <w:r w:rsidR="009C16C6">
        <w:t>O</w:t>
      </w:r>
      <w:r>
        <w:t>wnership</w:t>
      </w:r>
      <w:bookmarkEnd w:id="38"/>
    </w:p>
    <w:p w14:paraId="5FE6BBA9" w14:textId="313B8C32" w:rsidR="003913AE" w:rsidRDefault="002449FA">
      <w:pPr>
        <w:pStyle w:val="Heading3"/>
      </w:pPr>
      <w:bookmarkStart w:id="39" w:name="provisioning-on-boarding-and-off-boardin"/>
      <w:r>
        <w:t>Provisioning (On-boarding and Off-boarding)</w:t>
      </w:r>
      <w:bookmarkEnd w:id="39"/>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0" w:name="re-certification"/>
      <w:r>
        <w:t>Re-certification</w:t>
      </w:r>
      <w:bookmarkEnd w:id="40"/>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1" w:name="analytics-and-intelligence"/>
      <w:r>
        <w:t>Analytics and Intelligence</w:t>
      </w:r>
      <w:bookmarkEnd w:id="41"/>
    </w:p>
    <w:p w14:paraId="5DD3D340" w14:textId="77777777" w:rsidR="006524AF" w:rsidRPr="006524AF" w:rsidRDefault="006524AF" w:rsidP="00020319">
      <w:pPr>
        <w:pStyle w:val="Heading2"/>
      </w:pPr>
      <w:bookmarkStart w:id="42" w:name="handling-business-partners-people"/>
      <w:r w:rsidRPr="006524AF">
        <w:t>Handling Business Partners’ People</w:t>
      </w:r>
      <w:bookmarkEnd w:id="42"/>
    </w:p>
    <w:p w14:paraId="21FF6509" w14:textId="77777777" w:rsidR="006524AF" w:rsidRPr="006524AF" w:rsidRDefault="006524AF" w:rsidP="006524AF">
      <w:pPr>
        <w:pStyle w:val="BodyText"/>
      </w:pPr>
    </w:p>
    <w:p w14:paraId="03043422" w14:textId="77777777" w:rsidR="003913AE" w:rsidRDefault="002449FA">
      <w:pPr>
        <w:pStyle w:val="Heading1"/>
      </w:pPr>
      <w:bookmarkStart w:id="43" w:name="consumercitizen-iam-1"/>
      <w:r>
        <w:t>Consumer</w:t>
      </w:r>
      <w:r w:rsidR="00E55BC9">
        <w:t>/</w:t>
      </w:r>
      <w:r>
        <w:t>Citizen IAM</w:t>
      </w:r>
      <w:bookmarkEnd w:id="43"/>
    </w:p>
    <w:p w14:paraId="65E6864F" w14:textId="4CCE9E99" w:rsidR="003A4653" w:rsidRDefault="00AC2565" w:rsidP="003A4653">
      <w:pPr>
        <w:pStyle w:val="Heading2"/>
      </w:pPr>
      <w:bookmarkStart w:id="44" w:name="public-sector-vs.private-secto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5" w:name="digital-legacy---handling-deceased-perso"/>
      <w:r>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Consumers are the focus of the CIAM program. There are several areas that need to be considered that could help you implement a successful CIAM program, including the registration process for consumers, determining and implementing assurance requirements, and the </w:t>
      </w:r>
      <w:r>
        <w:rPr>
          <w:rFonts w:ascii="Arial" w:hAnsi="Arial" w:cs="Arial"/>
          <w:color w:val="000000"/>
          <w:sz w:val="22"/>
          <w:szCs w:val="22"/>
        </w:rPr>
        <w:lastRenderedPageBreak/>
        <w:t>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w:t>
      </w:r>
      <w:r>
        <w:t>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7F129B5B" w:rsidR="00AC2565" w:rsidRDefault="00AC2565" w:rsidP="00AC2565">
      <w:pPr>
        <w:rPr>
          <w:rFonts w:ascii="Calibri" w:hAnsi="Calibri" w:cs="Calibri"/>
        </w:rPr>
      </w:pPr>
      <w:r w:rsidRPr="00AC2565">
        <w:br/>
      </w:r>
      <w:r w:rsidRPr="00AC2565">
        <w:rPr>
          <w:rFonts w:ascii="Calibri" w:hAnsi="Calibri" w:cs="Calibri"/>
        </w:rP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07DEEA52" w14:textId="25264CB7" w:rsidR="00AC2565" w:rsidRDefault="00AC2565" w:rsidP="00AC2565">
      <w:pPr>
        <w:pStyle w:val="Heading2"/>
      </w:pPr>
      <w:r>
        <w:lastRenderedPageBreak/>
        <w:t>Industry Considerations</w:t>
      </w:r>
    </w:p>
    <w:p w14:paraId="5E7F3632" w14:textId="77777777" w:rsidR="00AC2565" w:rsidRDefault="00AC2565" w:rsidP="00AC2565">
      <w:pPr>
        <w:pStyle w:val="Heading3"/>
      </w:pPr>
      <w:r>
        <w:t>Public sector vs private sector</w:t>
      </w:r>
    </w:p>
    <w:p w14:paraId="4C95537F" w14:textId="49FF11A2"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article explains the unique use cases and challenges in the public sector and private sector that should be considered by the IAM practitioners. The article also provides the best practices and tips to deal with the use cases and challenges.</w:t>
      </w:r>
      <w:r>
        <w:rPr>
          <w:rFonts w:ascii="Arial" w:hAnsi="Arial" w:cs="Arial"/>
          <w:color w:val="000000"/>
          <w:sz w:val="22"/>
          <w:szCs w:val="22"/>
        </w:rPr>
        <w:t xml:space="preserve"> </w:t>
      </w:r>
      <w:r>
        <w:rPr>
          <w:rFonts w:ascii="Arial" w:hAnsi="Arial" w:cs="Arial"/>
          <w:color w:val="000000"/>
          <w:sz w:val="22"/>
          <w:szCs w:val="22"/>
        </w:rPr>
        <w:t>Almost every service requires a different identification method in public sectors.</w:t>
      </w:r>
      <w:r>
        <w:rPr>
          <w:rFonts w:ascii="Arial" w:hAnsi="Arial" w:cs="Arial"/>
          <w:color w:val="000000"/>
          <w:sz w:val="22"/>
          <w:szCs w:val="22"/>
        </w:rPr>
        <w:t xml:space="preserve"> </w:t>
      </w:r>
      <w:r>
        <w:rPr>
          <w:rFonts w:ascii="Arial" w:hAnsi="Arial" w:cs="Arial"/>
          <w:color w:val="000000"/>
          <w:sz w:val="22"/>
          <w:szCs w:val="22"/>
        </w:rPr>
        <w:t>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AC2565">
      <w:pPr>
        <w:pStyle w:val="Heading4"/>
      </w:pPr>
      <w:r>
        <w:t>Strong identity proofing</w:t>
      </w:r>
    </w:p>
    <w:p w14:paraId="007550AF" w14:textId="12B0EB6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2FA4EC44" w14:textId="0B76918D" w:rsidR="00AC2565" w:rsidRDefault="00AC2565" w:rsidP="00AC2565">
      <w:pPr>
        <w:pStyle w:val="Heading3"/>
        <w:rPr>
          <w:rFonts w:ascii="Arial" w:eastAsia="Times New Roman" w:hAnsi="Arial" w:cs="Arial"/>
          <w:b w:val="0"/>
          <w:bCs w:val="0"/>
          <w:color w:val="000000"/>
          <w:sz w:val="22"/>
          <w:szCs w:val="22"/>
        </w:rPr>
      </w:pPr>
      <w:r>
        <w:t>Financial services</w:t>
      </w:r>
      <w:r>
        <w:br/>
      </w:r>
      <w:r w:rsidRPr="00AC2565">
        <w:rPr>
          <w:rFonts w:ascii="Arial" w:eastAsia="Times New Roman" w:hAnsi="Arial" w:cs="Arial"/>
          <w:b w:val="0"/>
          <w:bCs w:val="0"/>
          <w:color w:val="000000"/>
          <w:sz w:val="22"/>
          <w:szCs w:val="22"/>
        </w:rPr>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AC2565">
      <w:pPr>
        <w:pStyle w:val="Heading4"/>
      </w:pPr>
      <w:r>
        <w:t>Integration with the legacy system</w:t>
      </w:r>
    </w:p>
    <w:p w14:paraId="1D483914" w14:textId="4F38B9B1"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AC2565">
      <w:pPr>
        <w:pStyle w:val="Heading4"/>
      </w:pPr>
      <w:r>
        <w:t>High Level of Assurance on sensitive activities</w:t>
      </w:r>
    </w:p>
    <w:p w14:paraId="1A749CD0" w14:textId="3791C56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of the activities in the financial services industry involve action toward and accessing sensitive information, such as purchase goods, funds transfer, etc. Due to this, there must be a high </w:t>
      </w:r>
      <w:proofErr w:type="spellStart"/>
      <w:r>
        <w:rPr>
          <w:rFonts w:ascii="Arial" w:hAnsi="Arial" w:cs="Arial"/>
          <w:color w:val="000000"/>
          <w:sz w:val="22"/>
          <w:szCs w:val="22"/>
        </w:rPr>
        <w:t>LoA</w:t>
      </w:r>
      <w:proofErr w:type="spellEnd"/>
      <w:r>
        <w:rPr>
          <w:rFonts w:ascii="Arial" w:hAnsi="Arial" w:cs="Arial"/>
          <w:color w:val="000000"/>
          <w:sz w:val="22"/>
          <w:szCs w:val="22"/>
        </w:rP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AC2565">
      <w:pPr>
        <w:pStyle w:val="Heading4"/>
      </w:pPr>
      <w:r>
        <w:t>The identities delegation</w:t>
      </w:r>
    </w:p>
    <w:p w14:paraId="3D3D5708" w14:textId="6AEAF686"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AC2565">
      <w:pPr>
        <w:pStyle w:val="Heading4"/>
      </w:pPr>
      <w:r w:rsidRPr="00AC2565">
        <w:t>Financial regulations compliance and guidance from the government organizations</w:t>
      </w:r>
    </w:p>
    <w:p w14:paraId="49FD7840" w14:textId="2C2637D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 are specific regulations and organizational guidance in the financial industry that help security and convenience to the consumer, for example, Payment Service Directives 2 (PSD2), </w:t>
      </w:r>
      <w:r>
        <w:rPr>
          <w:rFonts w:ascii="Arial" w:hAnsi="Arial" w:cs="Arial"/>
          <w:color w:val="000000"/>
          <w:sz w:val="22"/>
          <w:szCs w:val="22"/>
        </w:rPr>
        <w:lastRenderedPageBreak/>
        <w:t>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AC2565">
      <w:pPr>
        <w:pStyle w:val="Heading3"/>
      </w:pPr>
      <w:r>
        <w:t>Healthcare</w:t>
      </w:r>
    </w:p>
    <w:p w14:paraId="0AEE6E22" w14:textId="6698072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AC2565">
      <w:pPr>
        <w:pStyle w:val="Heading4"/>
      </w:pPr>
      <w:r>
        <w:t>High Level of Assurance on sensitive data (</w:t>
      </w:r>
      <w:proofErr w:type="spellStart"/>
      <w:r>
        <w:t>LoA</w:t>
      </w:r>
      <w:proofErr w:type="spellEnd"/>
      <w:r>
        <w:t>)</w:t>
      </w:r>
    </w:p>
    <w:p w14:paraId="77289FD6" w14:textId="33C3393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man who doesn’t have a fixed address and no form of authentication wants to access his data.</w:t>
      </w:r>
      <w:r>
        <w:rPr>
          <w:rFonts w:ascii="Arial" w:hAnsi="Arial" w:cs="Arial"/>
          <w:color w:val="000000"/>
          <w:sz w:val="22"/>
          <w:szCs w:val="22"/>
        </w:rPr>
        <w:t xml:space="preserve"> </w:t>
      </w:r>
      <w:r>
        <w:rPr>
          <w:rFonts w:ascii="Arial" w:hAnsi="Arial" w:cs="Arial"/>
          <w:color w:val="000000"/>
          <w:sz w:val="22"/>
          <w:szCs w:val="22"/>
        </w:rPr>
        <w:t xml:space="preserve">The person deserves to access 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but he can’t prove himself.</w:t>
      </w:r>
      <w:r>
        <w:rPr>
          <w:rFonts w:ascii="Arial" w:hAnsi="Arial" w:cs="Arial"/>
          <w:color w:val="000000"/>
          <w:sz w:val="22"/>
          <w:szCs w:val="22"/>
        </w:rPr>
        <w:t xml:space="preserve"> </w:t>
      </w:r>
      <w:r>
        <w:rPr>
          <w:rFonts w:ascii="Arial" w:hAnsi="Arial" w:cs="Arial"/>
          <w:color w:val="000000"/>
          <w:sz w:val="22"/>
          <w:szCs w:val="22"/>
        </w:rPr>
        <w:t xml:space="preserve">The section explains ways and best practices for achieving the high </w:t>
      </w:r>
      <w:proofErr w:type="spellStart"/>
      <w:r>
        <w:rPr>
          <w:rFonts w:ascii="Arial" w:hAnsi="Arial" w:cs="Arial"/>
          <w:color w:val="000000"/>
          <w:sz w:val="22"/>
          <w:szCs w:val="22"/>
        </w:rPr>
        <w:t>LoA</w:t>
      </w:r>
      <w:proofErr w:type="spellEnd"/>
      <w:r>
        <w:rPr>
          <w:rFonts w:ascii="Arial" w:hAnsi="Arial" w:cs="Arial"/>
          <w:color w:val="000000"/>
          <w:sz w:val="22"/>
          <w:szCs w:val="22"/>
        </w:rPr>
        <w:t>, e.g., step-authentication and to deal with the unique use case such as the homeless man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AC2565">
      <w:pPr>
        <w:pStyle w:val="Heading4"/>
      </w:pPr>
      <w:r>
        <w:t>Identities delegation</w:t>
      </w:r>
    </w:p>
    <w:p w14:paraId="5492855F" w14:textId="086C538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AC2565">
      <w:pPr>
        <w:pStyle w:val="Heading4"/>
      </w:pPr>
      <w:r>
        <w:t>Healthcare regulations compliance</w:t>
      </w:r>
    </w:p>
    <w:p w14:paraId="4A33D98D" w14:textId="72ABB3D9"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77777777" w:rsidR="00AC2565" w:rsidRDefault="00AC2565" w:rsidP="00AC2565">
      <w:pPr>
        <w:pStyle w:val="Heading3"/>
      </w:pPr>
      <w:r>
        <w:t>Game</w:t>
      </w:r>
    </w:p>
    <w:p w14:paraId="422DE5A4" w14:textId="7EE48771" w:rsidR="00AC2565" w:rsidRDefault="00AC2565" w:rsidP="00AC2565">
      <w:pPr>
        <w:pStyle w:val="Heading3"/>
        <w:rPr>
          <w:rFonts w:ascii="Arial" w:eastAsia="Times New Roman" w:hAnsi="Arial" w:cs="Arial"/>
          <w:b w:val="0"/>
          <w:bCs w:val="0"/>
          <w:color w:val="000000"/>
          <w:sz w:val="22"/>
          <w:szCs w:val="22"/>
        </w:rPr>
      </w:pPr>
      <w:r w:rsidRPr="00AC2565">
        <w:rPr>
          <w:rFonts w:ascii="Arial" w:eastAsia="Times New Roman" w:hAnsi="Arial" w:cs="Arial"/>
          <w:b w:val="0"/>
          <w:bCs w:val="0"/>
          <w:color w:val="000000"/>
          <w:sz w:val="22"/>
          <w:szCs w:val="22"/>
        </w:rPr>
        <w:t>The section explains unique use cases and challenges faced in the gaming industry that should be considered for IAM practitioners. The section also explains the tips and best practices to deal with those use cases and challenges.</w:t>
      </w:r>
    </w:p>
    <w:p w14:paraId="202CF16A" w14:textId="77777777" w:rsidR="00AC2565" w:rsidRPr="00AC2565" w:rsidRDefault="00AC2565" w:rsidP="00AC2565">
      <w:pPr>
        <w:pStyle w:val="BodyText"/>
      </w:pPr>
    </w:p>
    <w:p w14:paraId="75CFA23C" w14:textId="74F417AE" w:rsidR="00AC2565" w:rsidRDefault="00AC2565" w:rsidP="00AC2565">
      <w:pPr>
        <w:pStyle w:val="Heading4"/>
      </w:pPr>
      <w:r>
        <w:t>Local game privacy compliance</w:t>
      </w:r>
    </w:p>
    <w:p w14:paraId="398FD9F3" w14:textId="7385CF7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AC2565">
      <w:pPr>
        <w:pStyle w:val="Heading4"/>
      </w:pPr>
      <w:r>
        <w:t xml:space="preserve">Scalability and availability </w:t>
      </w:r>
    </w:p>
    <w:p w14:paraId="1566C5E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475710">
      <w:pPr>
        <w:pStyle w:val="Heading4"/>
      </w:pPr>
      <w:r w:rsidRPr="00475710">
        <w:lastRenderedPageBreak/>
        <w:t>Gaming and authentication</w:t>
      </w:r>
    </w:p>
    <w:p w14:paraId="2E4DD67F"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D2CD5C" w14:textId="77777777" w:rsidR="00475710" w:rsidRDefault="00475710" w:rsidP="00475710">
      <w:pPr>
        <w:pStyle w:val="Heading2"/>
      </w:pPr>
      <w:r>
        <w:t>Privacy and Compliance</w:t>
      </w:r>
    </w:p>
    <w:p w14:paraId="18F0ED71" w14:textId="74BD5D5C" w:rsidR="00475710" w:rsidRDefault="00475710" w:rsidP="00475710">
      <w:pPr>
        <w:pStyle w:val="NormalWeb"/>
        <w:spacing w:before="24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Privacy and compliance capabilities are foundational and the CIAM program should focus on protecting the individual</w:t>
      </w:r>
      <w:r>
        <w:rPr>
          <w:rFonts w:ascii="Arial" w:hAnsi="Arial" w:cs="Arial"/>
          <w:color w:val="444444"/>
          <w:sz w:val="22"/>
          <w:szCs w:val="22"/>
          <w:shd w:val="clear" w:color="auto" w:fill="FFFFFF"/>
        </w:rPr>
        <w:t xml:space="preserve">. </w:t>
      </w:r>
      <w:r>
        <w:rPr>
          <w:rFonts w:ascii="Arial" w:hAnsi="Arial" w:cs="Arial"/>
          <w:color w:val="000000"/>
          <w:sz w:val="22"/>
          <w:szCs w:val="22"/>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2F9E4E34" w14:textId="77777777" w:rsidR="00475710" w:rsidRDefault="00475710" w:rsidP="00475710">
      <w:pPr>
        <w:pStyle w:val="Heading2"/>
      </w:pPr>
      <w:r>
        <w:t>Security</w:t>
      </w:r>
    </w:p>
    <w:p w14:paraId="6DD1CE2E" w14:textId="672AED05"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b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74D3B846"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24DFBB84" w14:textId="79513F00" w:rsidR="00475710" w:rsidRDefault="00475710" w:rsidP="00475710">
      <w:pPr>
        <w:pStyle w:val="Heading3"/>
      </w:pPr>
      <w:r>
        <w:t>Adaptive authentication</w:t>
      </w:r>
    </w:p>
    <w:p w14:paraId="362973B9" w14:textId="3CEAE0A8"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19B9580A"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6F493F98" w14:textId="77777777" w:rsidR="00475710" w:rsidRPr="00475710" w:rsidRDefault="00475710" w:rsidP="00475710">
      <w:pPr>
        <w:pStyle w:val="Heading3"/>
      </w:pPr>
      <w:r w:rsidRPr="00475710">
        <w:t>Multi-Factor Authentication (MFA)</w:t>
      </w:r>
    </w:p>
    <w:p w14:paraId="39C318F8" w14:textId="3A440E9D"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This refers to the use of more than one credential in the authentication of the user. Generally, the use of multiple factors results in a higher </w:t>
      </w:r>
      <w:proofErr w:type="spellStart"/>
      <w:r>
        <w:rPr>
          <w:rFonts w:ascii="Arial" w:hAnsi="Arial" w:cs="Arial"/>
          <w:color w:val="000000"/>
          <w:sz w:val="22"/>
          <w:szCs w:val="22"/>
          <w:shd w:val="clear" w:color="auto" w:fill="FFFFFF"/>
        </w:rPr>
        <w:t>LoA</w:t>
      </w:r>
      <w:proofErr w:type="spellEnd"/>
      <w:r>
        <w:rPr>
          <w:rFonts w:ascii="Arial" w:hAnsi="Arial" w:cs="Arial"/>
          <w:color w:val="000000"/>
          <w:sz w:val="22"/>
          <w:szCs w:val="22"/>
          <w:shd w:val="clear" w:color="auto" w:fill="FFFFFF"/>
        </w:rPr>
        <w:t xml:space="preserve"> for the user's authentication. Two-factor (2FA) is the simplest example of MFA where two different credentials are used.</w:t>
      </w:r>
      <w:r>
        <w:rPr>
          <w:rFonts w:ascii="Arial" w:hAnsi="Arial" w:cs="Arial"/>
          <w:color w:val="000000"/>
          <w:sz w:val="22"/>
          <w:szCs w:val="22"/>
        </w:rPr>
        <w:t xml:space="preserve"> </w:t>
      </w:r>
      <w:bookmarkStart w:id="46" w:name="_GoBack"/>
      <w:bookmarkEnd w:id="46"/>
      <w:r>
        <w:rPr>
          <w:rFonts w:ascii="Arial" w:hAnsi="Arial" w:cs="Arial"/>
          <w:color w:val="000000"/>
          <w:sz w:val="22"/>
          <w:szCs w:val="22"/>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4959BC8E" w14:textId="77777777" w:rsidR="00AC2565" w:rsidRPr="00AC2565" w:rsidRDefault="00AC2565" w:rsidP="00AC2565">
      <w:pPr>
        <w:rPr>
          <w:rFonts w:ascii="Calibri" w:hAnsi="Calibri" w:cs="Calibri"/>
        </w:rPr>
      </w:pPr>
    </w:p>
    <w:p w14:paraId="5AE4913B" w14:textId="77777777" w:rsidR="00AC2565" w:rsidRPr="00AC2565" w:rsidRDefault="00AC2565" w:rsidP="00AC2565">
      <w:pPr>
        <w:pStyle w:val="BodyText"/>
      </w:pPr>
    </w:p>
    <w:p w14:paraId="10615BBE" w14:textId="77777777" w:rsidR="003913AE" w:rsidRDefault="002449FA">
      <w:pPr>
        <w:pStyle w:val="Heading1"/>
      </w:pPr>
      <w:bookmarkStart w:id="47" w:name="non-human-entity"/>
      <w:bookmarkEnd w:id="44"/>
      <w:bookmarkEnd w:id="45"/>
      <w:r>
        <w:lastRenderedPageBreak/>
        <w:t>Non</w:t>
      </w:r>
      <w:r w:rsidR="00E55BC9">
        <w:t>-</w:t>
      </w:r>
      <w:r>
        <w:t>Human Entity</w:t>
      </w:r>
      <w:bookmarkEnd w:id="47"/>
    </w:p>
    <w:p w14:paraId="02093B47" w14:textId="77777777" w:rsidR="003913AE" w:rsidRDefault="002449FA">
      <w:pPr>
        <w:pStyle w:val="Heading2"/>
      </w:pPr>
      <w:bookmarkStart w:id="48" w:name="operational-technology-ot"/>
      <w:r>
        <w:t>Operational Technology (OT)</w:t>
      </w:r>
      <w:bookmarkEnd w:id="48"/>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61FD9862" w:rsidR="00AA19BA" w:rsidRDefault="00AA19BA" w:rsidP="00AA19BA">
      <w:pPr>
        <w:pStyle w:val="Heading2"/>
      </w:pPr>
      <w:r>
        <w:t xml:space="preserve">IAM Architecture Overview </w:t>
      </w:r>
      <w:r w:rsidRPr="0023249E">
        <w:rPr>
          <w:i/>
          <w:iCs/>
        </w:rPr>
        <w:t>– article in progress</w:t>
      </w:r>
    </w:p>
    <w:p w14:paraId="1C89B35B" w14:textId="58CBDA8A" w:rsidR="00AA19BA" w:rsidRDefault="00AA19BA" w:rsidP="00AA19BA">
      <w:pPr>
        <w:pStyle w:val="Heading2"/>
      </w:pPr>
      <w:r>
        <w:t xml:space="preserve">Architecture Patterns </w:t>
      </w:r>
      <w:r w:rsidRPr="0023249E">
        <w:rPr>
          <w:i/>
          <w:iCs/>
        </w:rPr>
        <w:t>– article in progress</w:t>
      </w:r>
    </w:p>
    <w:p w14:paraId="06E1D82A" w14:textId="1F8BD267" w:rsidR="00AA19BA" w:rsidRDefault="00AA19BA" w:rsidP="00AA19BA">
      <w:pPr>
        <w:pStyle w:val="Heading2"/>
      </w:pPr>
      <w:r>
        <w:t xml:space="preserve">Technical Architecture </w:t>
      </w:r>
      <w:r w:rsidRPr="0023249E">
        <w:rPr>
          <w:i/>
          <w:iCs/>
        </w:rPr>
        <w:t>– article in progress</w:t>
      </w:r>
    </w:p>
    <w:p w14:paraId="75B7BDF4" w14:textId="52136CF8" w:rsidR="00AA19BA" w:rsidRDefault="00AA19BA" w:rsidP="00AA19BA">
      <w:pPr>
        <w:pStyle w:val="Heading2"/>
      </w:pPr>
      <w:r>
        <w:t xml:space="preserve">Identity Governance </w:t>
      </w:r>
      <w:r w:rsidRPr="0023249E">
        <w:rPr>
          <w:i/>
          <w:iCs/>
        </w:rPr>
        <w:t>– article in progress</w:t>
      </w:r>
    </w:p>
    <w:p w14:paraId="7CE963EB" w14:textId="4E483EBC" w:rsidR="00AA19BA" w:rsidRDefault="00AA19BA" w:rsidP="00AA19BA">
      <w:pPr>
        <w:pStyle w:val="Heading3"/>
      </w:pPr>
      <w:r>
        <w:t xml:space="preserve">Elements of IGA Systems </w:t>
      </w:r>
      <w:r w:rsidRPr="0023249E">
        <w:rPr>
          <w:i/>
          <w:iCs/>
        </w:rPr>
        <w:t>– article in progress</w:t>
      </w:r>
    </w:p>
    <w:p w14:paraId="73FAF55A" w14:textId="449B8791" w:rsidR="00AA19BA" w:rsidRPr="00AA19BA" w:rsidRDefault="00AA19BA" w:rsidP="00AA19BA">
      <w:pPr>
        <w:pStyle w:val="Heading2"/>
      </w:pPr>
      <w:r>
        <w:t xml:space="preserve">Key Definitions and Terms </w:t>
      </w:r>
      <w:r w:rsidRPr="0023249E">
        <w:rPr>
          <w:i/>
          <w:iCs/>
        </w:rPr>
        <w:t>– article in progress</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t>Design for security</w:t>
      </w:r>
      <w:bookmarkEnd w:id="67"/>
    </w:p>
    <w:p w14:paraId="1E38FC91" w14:textId="77777777" w:rsidR="003913AE" w:rsidRDefault="002449FA">
      <w:pPr>
        <w:pStyle w:val="Heading1"/>
      </w:pPr>
      <w:bookmarkStart w:id="68" w:name="operational-considerations"/>
      <w:r>
        <w:lastRenderedPageBreak/>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12DC2303"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article in progress</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0E5C33EB" w:rsidR="007A627F" w:rsidRDefault="00636D5E" w:rsidP="003A4653">
      <w:pPr>
        <w:pStyle w:val="Heading2"/>
      </w:pPr>
      <w:r>
        <w:t>Independent Organizations</w:t>
      </w:r>
      <w:r w:rsidR="00AA19BA">
        <w:t xml:space="preserve"> </w:t>
      </w:r>
      <w:r w:rsidR="00AA19BA" w:rsidRPr="0023249E">
        <w:rPr>
          <w:i/>
          <w:iCs/>
        </w:rPr>
        <w:t>– article in progress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75" w:name="self-soverign-identity"/>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625DE" w14:textId="77777777" w:rsidR="00816BD4" w:rsidRDefault="00816BD4">
      <w:pPr>
        <w:spacing w:after="0"/>
      </w:pPr>
      <w:r>
        <w:separator/>
      </w:r>
    </w:p>
  </w:endnote>
  <w:endnote w:type="continuationSeparator" w:id="0">
    <w:p w14:paraId="6EBE312B" w14:textId="77777777" w:rsidR="00816BD4" w:rsidRDefault="00816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5FC34" w14:textId="77777777" w:rsidR="00816BD4" w:rsidRDefault="00816BD4">
      <w:r>
        <w:separator/>
      </w:r>
    </w:p>
  </w:footnote>
  <w:footnote w:type="continuationSeparator" w:id="0">
    <w:p w14:paraId="370AA60E" w14:textId="77777777" w:rsidR="00816BD4" w:rsidRDefault="00816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53E2F"/>
    <w:rsid w:val="001C6943"/>
    <w:rsid w:val="0023249E"/>
    <w:rsid w:val="002449FA"/>
    <w:rsid w:val="002E038B"/>
    <w:rsid w:val="00363337"/>
    <w:rsid w:val="00390AAE"/>
    <w:rsid w:val="003913AE"/>
    <w:rsid w:val="003A4653"/>
    <w:rsid w:val="003A58A8"/>
    <w:rsid w:val="003C5389"/>
    <w:rsid w:val="003E4DDB"/>
    <w:rsid w:val="00475710"/>
    <w:rsid w:val="004C190E"/>
    <w:rsid w:val="004E29B3"/>
    <w:rsid w:val="004E4538"/>
    <w:rsid w:val="0058380E"/>
    <w:rsid w:val="00586D84"/>
    <w:rsid w:val="00590D07"/>
    <w:rsid w:val="005F59F9"/>
    <w:rsid w:val="006130C6"/>
    <w:rsid w:val="00636D5E"/>
    <w:rsid w:val="00643AEB"/>
    <w:rsid w:val="006474A1"/>
    <w:rsid w:val="006524AF"/>
    <w:rsid w:val="00657805"/>
    <w:rsid w:val="00666F7F"/>
    <w:rsid w:val="006C21B9"/>
    <w:rsid w:val="006C2F64"/>
    <w:rsid w:val="007115BC"/>
    <w:rsid w:val="00734718"/>
    <w:rsid w:val="00771594"/>
    <w:rsid w:val="00784D58"/>
    <w:rsid w:val="007A627F"/>
    <w:rsid w:val="007D05EE"/>
    <w:rsid w:val="00816BD4"/>
    <w:rsid w:val="008515D6"/>
    <w:rsid w:val="0085279F"/>
    <w:rsid w:val="008D6863"/>
    <w:rsid w:val="00911915"/>
    <w:rsid w:val="00915885"/>
    <w:rsid w:val="009C16C6"/>
    <w:rsid w:val="009D3879"/>
    <w:rsid w:val="009F177C"/>
    <w:rsid w:val="00A27C7A"/>
    <w:rsid w:val="00A57D0B"/>
    <w:rsid w:val="00AA19BA"/>
    <w:rsid w:val="00AC2565"/>
    <w:rsid w:val="00B46969"/>
    <w:rsid w:val="00B86B75"/>
    <w:rsid w:val="00BC48D5"/>
    <w:rsid w:val="00BF2ADC"/>
    <w:rsid w:val="00C36279"/>
    <w:rsid w:val="00DD58D8"/>
    <w:rsid w:val="00E315A3"/>
    <w:rsid w:val="00E44BDC"/>
    <w:rsid w:val="00E55BC9"/>
    <w:rsid w:val="00E64553"/>
    <w:rsid w:val="00EA275E"/>
    <w:rsid w:val="00EF4517"/>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38</cp:revision>
  <dcterms:created xsi:type="dcterms:W3CDTF">2018-12-16T19:30:00Z</dcterms:created>
  <dcterms:modified xsi:type="dcterms:W3CDTF">2020-01-23T15:00:00Z</dcterms:modified>
</cp:coreProperties>
</file>